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伊犁州特克斯县</w:t>
      </w:r>
      <w:r>
        <w:rPr>
          <w:rFonts w:hint="eastAsia" w:ascii="方正小标宋_GBK" w:hAnsi="华文中宋" w:eastAsia="方正小标宋_GBK" w:cs="宋体"/>
          <w:b/>
          <w:kern w:val="0"/>
          <w:sz w:val="48"/>
          <w:szCs w:val="48"/>
          <w:lang w:val="en-US" w:eastAsia="zh-CN"/>
        </w:rPr>
        <w:t>第二中学</w:t>
      </w:r>
      <w:r>
        <w:rPr>
          <w:rFonts w:hint="eastAsia" w:ascii="方正小标宋_GBK" w:hAnsi="华文中宋" w:eastAsia="方正小标宋_GBK" w:cs="宋体"/>
          <w:b/>
          <w:kern w:val="0"/>
          <w:sz w:val="48"/>
          <w:szCs w:val="48"/>
        </w:rPr>
        <w:t>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r>
        <w:rPr>
          <w:rFonts w:hint="eastAsia" w:hAnsi="宋体" w:eastAsia="仿宋_GB2312" w:cs="宋体"/>
          <w:kern w:val="0"/>
          <w:sz w:val="44"/>
          <w:szCs w:val="44"/>
        </w:rPr>
        <w:t>特克斯县</w:t>
      </w:r>
      <w:r>
        <w:rPr>
          <w:rStyle w:val="16"/>
          <w:rFonts w:hint="eastAsia" w:ascii="仿宋_GB2312" w:hAnsi="楷体" w:eastAsia="仿宋_GB2312"/>
          <w:b w:val="0"/>
          <w:spacing w:val="-4"/>
          <w:sz w:val="44"/>
          <w:szCs w:val="44"/>
        </w:rPr>
        <w:t>第二</w:t>
      </w:r>
      <w:r>
        <w:rPr>
          <w:rStyle w:val="16"/>
          <w:rFonts w:hint="eastAsia" w:ascii="仿宋_GB2312" w:hAnsi="楷体" w:eastAsia="仿宋_GB2312"/>
          <w:b w:val="0"/>
          <w:spacing w:val="-4"/>
          <w:sz w:val="44"/>
          <w:szCs w:val="44"/>
          <w:lang w:val="en-US" w:eastAsia="zh-CN"/>
        </w:rPr>
        <w:t>中学</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年4月28日</w:t>
      </w:r>
    </w:p>
    <w:p>
      <w:pPr>
        <w:pStyle w:val="3"/>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4"/>
        <w:spacing w:line="360" w:lineRule="auto"/>
        <w:rPr>
          <w:rStyle w:val="16"/>
          <w:rFonts w:ascii="仿宋" w:hAnsi="仿宋" w:eastAsia="仿宋"/>
          <w:b/>
          <w:bCs/>
        </w:rPr>
      </w:pPr>
      <w:bookmarkStart w:id="2" w:name="_Toc70450290"/>
      <w:r>
        <w:rPr>
          <w:rStyle w:val="16"/>
          <w:rFonts w:hint="eastAsia" w:ascii="仿宋" w:hAnsi="仿宋" w:eastAsia="仿宋"/>
          <w:b/>
          <w:bCs/>
        </w:rPr>
        <w:t>（一）部门单位基本情况</w:t>
      </w:r>
      <w:bookmarkEnd w:id="2"/>
    </w:p>
    <w:p>
      <w:pPr>
        <w:pStyle w:val="5"/>
        <w:spacing w:line="360" w:lineRule="auto"/>
        <w:ind w:firstLine="562" w:firstLineChars="200"/>
        <w:rPr>
          <w:rStyle w:val="16"/>
          <w:rFonts w:ascii="仿宋" w:hAnsi="仿宋" w:eastAsia="仿宋"/>
          <w:b/>
          <w:bCs/>
        </w:rPr>
      </w:pPr>
      <w:bookmarkStart w:id="3" w:name="_Toc70450291"/>
      <w:r>
        <w:rPr>
          <w:rStyle w:val="16"/>
          <w:rFonts w:ascii="仿宋" w:hAnsi="仿宋" w:eastAsia="仿宋"/>
          <w:b/>
          <w:bCs/>
        </w:rPr>
        <w:t>1</w:t>
      </w:r>
      <w:r>
        <w:rPr>
          <w:rStyle w:val="16"/>
          <w:rFonts w:hint="eastAsia" w:ascii="仿宋" w:hAnsi="仿宋" w:eastAsia="仿宋"/>
          <w:b/>
          <w:bCs/>
        </w:rPr>
        <w:t>、主要职能</w:t>
      </w:r>
      <w:bookmarkEnd w:id="3"/>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1.宣传贯彻党的路线、方针、政策，坚持正确的办学方向。</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2.负责党的理论教育研讨工作，指导干部学习党的理论，培养合格的党员干部。</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3.编制学校教学计划，管理，协调教育活动，开展教学情况。</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4.完成全校交办的其他工作。</w:t>
      </w:r>
    </w:p>
    <w:p>
      <w:pPr>
        <w:pStyle w:val="5"/>
        <w:spacing w:line="360" w:lineRule="auto"/>
        <w:ind w:firstLine="562" w:firstLineChars="200"/>
        <w:rPr>
          <w:rStyle w:val="16"/>
          <w:rFonts w:ascii="仿宋" w:hAnsi="仿宋" w:eastAsia="仿宋"/>
          <w:b/>
          <w:bCs/>
        </w:rPr>
      </w:pPr>
      <w:bookmarkStart w:id="4" w:name="_Toc70450292"/>
      <w:r>
        <w:rPr>
          <w:rStyle w:val="16"/>
          <w:rFonts w:hint="eastAsia" w:ascii="仿宋" w:hAnsi="仿宋" w:eastAsia="仿宋"/>
          <w:b/>
          <w:bCs/>
        </w:rPr>
        <w:t>2、机构人员构成</w:t>
      </w:r>
      <w:bookmarkEnd w:id="4"/>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（1）组织机构设置：</w:t>
      </w:r>
    </w:p>
    <w:p>
      <w:pPr>
        <w:spacing w:line="360" w:lineRule="auto"/>
        <w:ind w:firstLine="544" w:firstLineChars="200"/>
        <w:rPr>
          <w:rStyle w:val="16"/>
          <w:rFonts w:ascii="仿宋_GB2312" w:hAnsi="楷体" w:eastAsia="仿宋_GB2312"/>
          <w:b w:val="0"/>
          <w:spacing w:val="-4"/>
          <w:sz w:val="28"/>
          <w:szCs w:val="28"/>
        </w:rPr>
      </w:pPr>
      <w:bookmarkStart w:id="5" w:name="_Toc70450293"/>
      <w:r>
        <w:rPr>
          <w:rStyle w:val="16"/>
          <w:rFonts w:hint="eastAsia" w:ascii="仿宋_GB2312" w:hAnsi="楷体" w:eastAsia="仿宋_GB2312"/>
          <w:b w:val="0"/>
          <w:spacing w:val="-4"/>
          <w:sz w:val="28"/>
          <w:szCs w:val="28"/>
        </w:rPr>
        <w:t>特克斯县第二</w:t>
      </w:r>
      <w:r>
        <w:rPr>
          <w:rStyle w:val="16"/>
          <w:rFonts w:hint="eastAsia" w:ascii="仿宋_GB2312" w:hAnsi="楷体" w:eastAsia="仿宋_GB2312"/>
          <w:b w:val="0"/>
          <w:spacing w:val="-4"/>
          <w:sz w:val="28"/>
          <w:szCs w:val="28"/>
          <w:lang w:val="en-US" w:eastAsia="zh-CN"/>
        </w:rPr>
        <w:t>中学</w:t>
      </w:r>
      <w:r>
        <w:rPr>
          <w:rStyle w:val="16"/>
          <w:rFonts w:hint="eastAsia" w:ascii="仿宋_GB2312" w:hAnsi="楷体" w:eastAsia="仿宋_GB2312"/>
          <w:b w:val="0"/>
          <w:spacing w:val="-4"/>
          <w:sz w:val="28"/>
          <w:szCs w:val="28"/>
        </w:rPr>
        <w:t>无下属预算单位，下设7个</w:t>
      </w:r>
      <w:r>
        <w:rPr>
          <w:rStyle w:val="16"/>
          <w:rFonts w:hint="eastAsia" w:ascii="仿宋_GB2312" w:hAnsi="楷体" w:eastAsia="仿宋_GB2312"/>
          <w:b w:val="0"/>
          <w:spacing w:val="-4"/>
          <w:sz w:val="28"/>
          <w:szCs w:val="28"/>
          <w:lang w:val="en-US" w:eastAsia="zh-CN"/>
        </w:rPr>
        <w:t>科</w:t>
      </w:r>
      <w:r>
        <w:rPr>
          <w:rStyle w:val="16"/>
          <w:rFonts w:hint="eastAsia" w:ascii="仿宋_GB2312" w:hAnsi="楷体" w:eastAsia="仿宋_GB2312"/>
          <w:b w:val="0"/>
          <w:spacing w:val="-4"/>
          <w:sz w:val="28"/>
          <w:szCs w:val="28"/>
        </w:rPr>
        <w:t>室，分别是：办公室、教务处、德育处、教研室、总务处、工会、党建办。</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（2）2021年特克斯县第二</w:t>
      </w:r>
      <w:r>
        <w:rPr>
          <w:rStyle w:val="16"/>
          <w:rFonts w:hint="eastAsia" w:ascii="仿宋_GB2312" w:hAnsi="楷体" w:eastAsia="仿宋_GB2312"/>
          <w:b w:val="0"/>
          <w:spacing w:val="-4"/>
          <w:sz w:val="28"/>
          <w:szCs w:val="28"/>
          <w:lang w:val="en-US" w:eastAsia="zh-CN"/>
        </w:rPr>
        <w:t>中学</w:t>
      </w:r>
      <w:r>
        <w:rPr>
          <w:rStyle w:val="16"/>
          <w:rFonts w:hint="eastAsia" w:ascii="仿宋_GB2312" w:hAnsi="楷体" w:eastAsia="仿宋_GB2312"/>
          <w:b w:val="0"/>
          <w:spacing w:val="-4"/>
          <w:sz w:val="28"/>
          <w:szCs w:val="28"/>
        </w:rPr>
        <w:t>实有在职人员为</w:t>
      </w:r>
      <w:r>
        <w:rPr>
          <w:rStyle w:val="16"/>
          <w:rFonts w:hint="eastAsia" w:ascii="仿宋_GB2312" w:hAnsi="楷体" w:eastAsia="仿宋_GB2312"/>
          <w:b w:val="0"/>
          <w:spacing w:val="-4"/>
          <w:sz w:val="28"/>
          <w:szCs w:val="28"/>
          <w:lang w:val="en-US" w:eastAsia="zh-CN"/>
        </w:rPr>
        <w:t>60</w:t>
      </w:r>
      <w:r>
        <w:rPr>
          <w:rStyle w:val="16"/>
          <w:rFonts w:hint="eastAsia" w:ascii="仿宋_GB2312" w:hAnsi="楷体" w:eastAsia="仿宋_GB2312"/>
          <w:b w:val="0"/>
          <w:spacing w:val="-4"/>
          <w:sz w:val="28"/>
          <w:szCs w:val="28"/>
        </w:rPr>
        <w:t>人，其中：</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行政在职0人（上年0人），与上年一致。</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事业在职人员</w:t>
      </w:r>
      <w:r>
        <w:rPr>
          <w:rStyle w:val="16"/>
          <w:rFonts w:hint="eastAsia" w:ascii="仿宋_GB2312" w:hAnsi="楷体" w:eastAsia="仿宋_GB2312"/>
          <w:b w:val="0"/>
          <w:spacing w:val="-4"/>
          <w:sz w:val="28"/>
          <w:szCs w:val="28"/>
          <w:highlight w:val="none"/>
          <w:lang w:val="en-US" w:eastAsia="zh-CN"/>
        </w:rPr>
        <w:t>60</w:t>
      </w:r>
      <w:r>
        <w:rPr>
          <w:rStyle w:val="16"/>
          <w:rFonts w:hint="eastAsia" w:ascii="仿宋_GB2312" w:hAnsi="楷体" w:eastAsia="仿宋_GB2312"/>
          <w:b w:val="0"/>
          <w:spacing w:val="-4"/>
          <w:sz w:val="28"/>
          <w:szCs w:val="28"/>
          <w:highlight w:val="none"/>
        </w:rPr>
        <w:t>人（上年</w:t>
      </w:r>
      <w:r>
        <w:rPr>
          <w:rStyle w:val="16"/>
          <w:rFonts w:hint="eastAsia" w:ascii="仿宋_GB2312" w:hAnsi="楷体" w:eastAsia="仿宋_GB2312"/>
          <w:b w:val="0"/>
          <w:spacing w:val="-4"/>
          <w:sz w:val="28"/>
          <w:szCs w:val="28"/>
          <w:highlight w:val="none"/>
          <w:lang w:val="en-US" w:eastAsia="zh-CN"/>
        </w:rPr>
        <w:t>60</w:t>
      </w:r>
      <w:r>
        <w:rPr>
          <w:rStyle w:val="16"/>
          <w:rFonts w:hint="eastAsia" w:ascii="仿宋_GB2312" w:hAnsi="楷体" w:eastAsia="仿宋_GB2312"/>
          <w:b w:val="0"/>
          <w:spacing w:val="-4"/>
          <w:sz w:val="28"/>
          <w:szCs w:val="28"/>
          <w:highlight w:val="none"/>
        </w:rPr>
        <w:t>人），</w:t>
      </w:r>
      <w:r>
        <w:rPr>
          <w:rStyle w:val="16"/>
          <w:rFonts w:hint="eastAsia" w:ascii="仿宋_GB2312" w:hAnsi="楷体" w:eastAsia="仿宋_GB2312"/>
          <w:b w:val="0"/>
          <w:spacing w:val="-4"/>
          <w:sz w:val="28"/>
          <w:szCs w:val="28"/>
        </w:rPr>
        <w:t>与上年一致</w:t>
      </w:r>
      <w:r>
        <w:rPr>
          <w:rStyle w:val="16"/>
          <w:rFonts w:hint="eastAsia" w:ascii="仿宋_GB2312" w:hAnsi="楷体" w:eastAsia="仿宋_GB2312"/>
          <w:b w:val="0"/>
          <w:spacing w:val="-4"/>
          <w:sz w:val="28"/>
          <w:szCs w:val="28"/>
          <w:highlight w:val="none"/>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实有离休人员0人（上年0人）,与上年一致。</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实有退休人员</w:t>
      </w:r>
      <w:r>
        <w:rPr>
          <w:rStyle w:val="16"/>
          <w:rFonts w:hint="eastAsia" w:ascii="仿宋_GB2312" w:hAnsi="楷体" w:eastAsia="仿宋_GB2312"/>
          <w:b w:val="0"/>
          <w:spacing w:val="-4"/>
          <w:sz w:val="28"/>
          <w:szCs w:val="28"/>
          <w:lang w:val="en-US" w:eastAsia="zh-CN"/>
        </w:rPr>
        <w:t>38</w:t>
      </w:r>
      <w:r>
        <w:rPr>
          <w:rStyle w:val="16"/>
          <w:rFonts w:hint="eastAsia" w:ascii="仿宋_GB2312" w:hAnsi="楷体" w:eastAsia="仿宋_GB2312"/>
          <w:b w:val="0"/>
          <w:spacing w:val="-4"/>
          <w:sz w:val="28"/>
          <w:szCs w:val="28"/>
        </w:rPr>
        <w:t>人（上年</w:t>
      </w:r>
      <w:r>
        <w:rPr>
          <w:rStyle w:val="16"/>
          <w:rFonts w:hint="eastAsia" w:ascii="仿宋_GB2312" w:hAnsi="楷体" w:eastAsia="仿宋_GB2312"/>
          <w:b w:val="0"/>
          <w:spacing w:val="-4"/>
          <w:sz w:val="28"/>
          <w:szCs w:val="28"/>
          <w:lang w:val="en-US" w:eastAsia="zh-CN"/>
        </w:rPr>
        <w:t>36</w:t>
      </w:r>
      <w:r>
        <w:rPr>
          <w:rStyle w:val="16"/>
          <w:rFonts w:hint="eastAsia" w:ascii="仿宋_GB2312" w:hAnsi="楷体" w:eastAsia="仿宋_GB2312"/>
          <w:b w:val="0"/>
          <w:spacing w:val="-4"/>
          <w:sz w:val="28"/>
          <w:szCs w:val="28"/>
        </w:rPr>
        <w:t>人）,</w:t>
      </w:r>
      <w:r>
        <w:rPr>
          <w:rStyle w:val="16"/>
          <w:rFonts w:hint="eastAsia" w:ascii="仿宋_GB2312" w:hAnsi="楷体" w:eastAsia="仿宋_GB2312"/>
          <w:b w:val="0"/>
          <w:spacing w:val="-4"/>
          <w:sz w:val="28"/>
          <w:szCs w:val="28"/>
          <w:lang w:val="en-US" w:eastAsia="zh-CN"/>
        </w:rPr>
        <w:t>同比上面增加2</w:t>
      </w:r>
      <w:r>
        <w:rPr>
          <w:rStyle w:val="16"/>
          <w:rFonts w:hint="eastAsia" w:ascii="仿宋_GB2312" w:hAnsi="楷体" w:eastAsia="仿宋_GB2312"/>
          <w:b w:val="0"/>
          <w:spacing w:val="-4"/>
          <w:sz w:val="28"/>
          <w:szCs w:val="28"/>
        </w:rPr>
        <w:t>人。</w:t>
      </w:r>
    </w:p>
    <w:p>
      <w:pPr>
        <w:pStyle w:val="5"/>
        <w:spacing w:line="360" w:lineRule="auto"/>
        <w:ind w:firstLine="562" w:firstLineChars="200"/>
        <w:rPr>
          <w:rStyle w:val="16"/>
          <w:rFonts w:ascii="仿宋" w:hAnsi="仿宋" w:eastAsia="仿宋"/>
          <w:b/>
          <w:bCs/>
        </w:rPr>
      </w:pPr>
      <w:r>
        <w:rPr>
          <w:rStyle w:val="16"/>
          <w:rFonts w:ascii="仿宋" w:hAnsi="仿宋" w:eastAsia="仿宋"/>
          <w:b/>
          <w:bCs/>
        </w:rPr>
        <w:t>3</w:t>
      </w:r>
      <w:r>
        <w:rPr>
          <w:rStyle w:val="16"/>
          <w:rFonts w:hint="eastAsia" w:ascii="仿宋" w:hAnsi="仿宋" w:eastAsia="仿宋"/>
          <w:b/>
          <w:bCs/>
        </w:rPr>
        <w:t>、重点工作计划</w:t>
      </w:r>
      <w:bookmarkEnd w:id="5"/>
    </w:p>
    <w:p>
      <w:pPr>
        <w:spacing w:line="360" w:lineRule="auto"/>
        <w:ind w:firstLine="544" w:firstLineChars="200"/>
        <w:rPr>
          <w:rStyle w:val="16"/>
          <w:rFonts w:ascii="仿宋_GB2312" w:hAnsi="楷体" w:eastAsia="仿宋_GB2312"/>
          <w:b w:val="0"/>
          <w:spacing w:val="-4"/>
          <w:sz w:val="28"/>
          <w:szCs w:val="28"/>
          <w:highlight w:val="none"/>
        </w:rPr>
      </w:pPr>
      <w:bookmarkStart w:id="6" w:name="_Toc70450294"/>
      <w:r>
        <w:rPr>
          <w:rStyle w:val="16"/>
          <w:rFonts w:hint="eastAsia" w:ascii="仿宋_GB2312" w:hAnsi="楷体" w:eastAsia="仿宋_GB2312"/>
          <w:b w:val="0"/>
          <w:spacing w:val="-4"/>
          <w:sz w:val="28"/>
          <w:szCs w:val="28"/>
          <w:highlight w:val="none"/>
        </w:rPr>
        <w:t>（1）</w:t>
      </w:r>
      <w:r>
        <w:rPr>
          <w:rFonts w:hint="eastAsia" w:ascii="仿宋_GB2312" w:eastAsia="仿宋_GB2312"/>
          <w:sz w:val="28"/>
          <w:szCs w:val="28"/>
        </w:rPr>
        <w:t>落实各项制度。结合实际，进一步完善民主议事制度、财务管理制度、人事管理制度、大宗物资采购制度、建设工程管理办法和责任追究制度。对照制度要求，明确各分管负责人的权限、职责和运作程序。 分管领导在行使职权时，必须按规章制度要求和程序办事。凡属重大决策、重要干部人事变动、重大项目安排和大额度资金的使用，必须由支委会领导班子集体研究做出决定</w:t>
      </w:r>
      <w:r>
        <w:rPr>
          <w:rFonts w:hint="eastAsia" w:ascii="仿宋_GB2312" w:eastAsia="仿宋_GB2312"/>
          <w:sz w:val="28"/>
          <w:szCs w:val="28"/>
          <w:lang w:eastAsia="zh-CN"/>
        </w:rPr>
        <w:t>。</w:t>
      </w:r>
      <w:r>
        <w:rPr>
          <w:rStyle w:val="16"/>
          <w:rFonts w:hint="eastAsia" w:ascii="仿宋_GB2312" w:hAnsi="楷体" w:eastAsia="仿宋_GB2312"/>
          <w:b w:val="0"/>
          <w:spacing w:val="-4"/>
          <w:sz w:val="28"/>
          <w:szCs w:val="28"/>
          <w:highlight w:val="none"/>
        </w:rPr>
        <w:t>确保人员经费的合理分配。</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（2）</w:t>
      </w:r>
      <w:r>
        <w:rPr>
          <w:rFonts w:hint="eastAsia" w:ascii="仿宋_GB2312" w:eastAsia="仿宋_GB2312"/>
          <w:sz w:val="28"/>
          <w:szCs w:val="28"/>
        </w:rPr>
        <w:t>加大力度，按时完成。采取多种方式积极做好制</w:t>
      </w:r>
      <w:r>
        <w:rPr>
          <w:rFonts w:hint="eastAsia" w:ascii="仿宋_GB2312" w:eastAsia="仿宋_GB2312"/>
          <w:sz w:val="28"/>
          <w:szCs w:val="28"/>
          <w:lang w:val="en-US" w:eastAsia="zh-CN"/>
        </w:rPr>
        <w:t>度</w:t>
      </w:r>
      <w:r>
        <w:rPr>
          <w:rFonts w:hint="eastAsia" w:ascii="仿宋_GB2312" w:eastAsia="仿宋_GB2312"/>
          <w:sz w:val="28"/>
          <w:szCs w:val="28"/>
        </w:rPr>
        <w:t>规范体系建设的工作，确保按时完成工作各项任务</w:t>
      </w:r>
      <w:r>
        <w:rPr>
          <w:rStyle w:val="16"/>
          <w:rFonts w:hint="eastAsia" w:ascii="仿宋_GB2312" w:hAnsi="楷体" w:eastAsia="仿宋_GB2312"/>
          <w:b w:val="0"/>
          <w:spacing w:val="-4"/>
          <w:sz w:val="28"/>
          <w:szCs w:val="28"/>
          <w:highlight w:val="none"/>
        </w:rPr>
        <w:t>完成在职教师工资发放、按时完成社保、公积金缴纳。</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（3）</w:t>
      </w:r>
      <w:r>
        <w:rPr>
          <w:rFonts w:hint="eastAsia" w:ascii="仿宋_GB2312" w:eastAsia="仿宋_GB2312"/>
          <w:sz w:val="28"/>
          <w:szCs w:val="28"/>
          <w:highlight w:val="none"/>
        </w:rPr>
        <w:t>加强沟通、相互协调、密切配合</w:t>
      </w:r>
      <w:r>
        <w:rPr>
          <w:rStyle w:val="16"/>
          <w:rFonts w:hint="eastAsia" w:ascii="仿宋_GB2312" w:hAnsi="楷体" w:eastAsia="仿宋_GB2312"/>
          <w:b w:val="0"/>
          <w:spacing w:val="-4"/>
          <w:sz w:val="28"/>
          <w:szCs w:val="28"/>
          <w:highlight w:val="none"/>
        </w:rPr>
        <w:t>及时完成退休教师取暖费、计生奖励金按时发放。</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（4）完成每年教学任务。全面推进各类教师能力提升培训，加强教师队伍建设。完成好教育教学管理工作。</w:t>
      </w:r>
    </w:p>
    <w:p>
      <w:pPr>
        <w:pStyle w:val="4"/>
        <w:spacing w:line="360" w:lineRule="auto"/>
        <w:ind w:firstLine="138" w:firstLineChars="49"/>
        <w:rPr>
          <w:rStyle w:val="16"/>
          <w:rFonts w:ascii="仿宋" w:hAnsi="仿宋" w:eastAsia="仿宋"/>
          <w:b/>
          <w:bCs/>
          <w:sz w:val="28"/>
          <w:szCs w:val="28"/>
        </w:rPr>
      </w:pPr>
      <w:r>
        <w:rPr>
          <w:rStyle w:val="16"/>
          <w:rFonts w:hint="eastAsia" w:ascii="仿宋" w:hAnsi="仿宋" w:eastAsia="仿宋"/>
          <w:b/>
          <w:bCs/>
          <w:sz w:val="28"/>
          <w:szCs w:val="28"/>
        </w:rPr>
        <w:t>（二）部门单位整体支出规模、</w:t>
      </w:r>
      <w:bookmarkStart w:id="7" w:name="_Hlk70339807"/>
      <w:r>
        <w:rPr>
          <w:rStyle w:val="16"/>
          <w:rFonts w:hint="eastAsia" w:ascii="仿宋" w:hAnsi="仿宋" w:eastAsia="仿宋"/>
          <w:b/>
          <w:bCs/>
          <w:sz w:val="28"/>
          <w:szCs w:val="28"/>
        </w:rPr>
        <w:t>使用方法和主要内容、涉及对象及范围等</w:t>
      </w:r>
      <w:bookmarkEnd w:id="6"/>
    </w:p>
    <w:bookmarkEnd w:id="7"/>
    <w:p>
      <w:pPr>
        <w:pStyle w:val="5"/>
        <w:spacing w:line="360" w:lineRule="auto"/>
        <w:ind w:firstLine="562" w:firstLineChars="200"/>
        <w:rPr>
          <w:rStyle w:val="16"/>
          <w:rFonts w:ascii="仿宋" w:hAnsi="仿宋" w:eastAsia="仿宋"/>
          <w:b/>
          <w:bCs/>
        </w:rPr>
      </w:pPr>
      <w:bookmarkStart w:id="8" w:name="_Toc70450295"/>
      <w:r>
        <w:rPr>
          <w:rStyle w:val="16"/>
          <w:rFonts w:hint="eastAsia" w:ascii="仿宋" w:hAnsi="仿宋" w:eastAsia="仿宋"/>
          <w:b/>
          <w:bCs/>
        </w:rPr>
        <w:t>1、部门单位整体支出规模</w:t>
      </w:r>
      <w:bookmarkEnd w:id="8"/>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rPr>
        <w:t>2021年批复</w:t>
      </w:r>
      <w:r>
        <w:rPr>
          <w:rStyle w:val="16"/>
          <w:rFonts w:hint="eastAsia" w:ascii="仿宋_GB2312" w:hAnsi="楷体" w:eastAsia="仿宋_GB2312"/>
          <w:b w:val="0"/>
          <w:spacing w:val="-4"/>
          <w:sz w:val="28"/>
          <w:szCs w:val="28"/>
          <w:lang w:val="en-US" w:eastAsia="zh-CN"/>
        </w:rPr>
        <w:t>我单位</w:t>
      </w:r>
      <w:r>
        <w:rPr>
          <w:rStyle w:val="16"/>
          <w:rFonts w:hint="eastAsia" w:ascii="仿宋_GB2312" w:hAnsi="楷体" w:eastAsia="仿宋_GB2312"/>
          <w:b w:val="0"/>
          <w:spacing w:val="-4"/>
          <w:sz w:val="28"/>
          <w:szCs w:val="28"/>
        </w:rPr>
        <w:t>预算为</w:t>
      </w:r>
      <w:r>
        <w:rPr>
          <w:rStyle w:val="16"/>
          <w:rFonts w:hint="eastAsia" w:ascii="仿宋_GB2312" w:hAnsi="楷体" w:eastAsia="仿宋_GB2312"/>
          <w:b w:val="0"/>
          <w:spacing w:val="-4"/>
          <w:sz w:val="28"/>
          <w:szCs w:val="28"/>
          <w:lang w:val="en-US" w:eastAsia="zh-CN"/>
        </w:rPr>
        <w:t>1073.55</w:t>
      </w:r>
      <w:r>
        <w:rPr>
          <w:rStyle w:val="16"/>
          <w:rFonts w:hint="eastAsia" w:ascii="仿宋_GB2312" w:hAnsi="楷体" w:eastAsia="仿宋_GB2312"/>
          <w:b w:val="0"/>
          <w:spacing w:val="-4"/>
          <w:sz w:val="28"/>
          <w:szCs w:val="28"/>
        </w:rPr>
        <w:t>元，其中：财政拨款为</w:t>
      </w:r>
      <w:r>
        <w:rPr>
          <w:rStyle w:val="16"/>
          <w:rFonts w:hint="eastAsia" w:ascii="仿宋_GB2312" w:hAnsi="楷体" w:eastAsia="仿宋_GB2312"/>
          <w:b w:val="0"/>
          <w:spacing w:val="-4"/>
          <w:sz w:val="28"/>
          <w:szCs w:val="28"/>
          <w:lang w:val="en-US" w:eastAsia="zh-CN"/>
        </w:rPr>
        <w:t>1073.55</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2021年中追加</w:t>
      </w:r>
      <w:r>
        <w:rPr>
          <w:rStyle w:val="16"/>
          <w:rFonts w:hint="eastAsia" w:ascii="仿宋_GB2312" w:hAnsi="楷体" w:eastAsia="仿宋_GB2312"/>
          <w:b w:val="0"/>
          <w:spacing w:val="-4"/>
          <w:sz w:val="28"/>
          <w:szCs w:val="28"/>
          <w:lang w:val="en-US" w:eastAsia="zh-CN"/>
        </w:rPr>
        <w:t>293.38</w:t>
      </w:r>
      <w:r>
        <w:rPr>
          <w:rStyle w:val="16"/>
          <w:rFonts w:hint="eastAsia" w:ascii="仿宋_GB2312" w:hAnsi="楷体" w:eastAsia="仿宋_GB2312"/>
          <w:b w:val="0"/>
          <w:spacing w:val="-4"/>
          <w:sz w:val="28"/>
          <w:szCs w:val="28"/>
        </w:rPr>
        <w:t>万元，调整率</w:t>
      </w:r>
      <w:r>
        <w:rPr>
          <w:rStyle w:val="16"/>
          <w:rFonts w:hint="eastAsia" w:ascii="仿宋_GB2312" w:hAnsi="楷体" w:eastAsia="仿宋_GB2312"/>
          <w:b w:val="0"/>
          <w:spacing w:val="-4"/>
          <w:sz w:val="28"/>
          <w:szCs w:val="28"/>
          <w:lang w:val="en-US" w:eastAsia="zh-CN"/>
        </w:rPr>
        <w:t>37.60</w:t>
      </w: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highlight w:val="none"/>
        </w:rPr>
        <w:t>对比</w:t>
      </w:r>
      <w:r>
        <w:rPr>
          <w:rStyle w:val="16"/>
          <w:rFonts w:hint="eastAsia" w:ascii="仿宋_GB2312" w:hAnsi="楷体" w:eastAsia="仿宋_GB2312"/>
          <w:b w:val="0"/>
          <w:spacing w:val="-4"/>
          <w:sz w:val="28"/>
          <w:szCs w:val="28"/>
          <w:highlight w:val="none"/>
          <w:lang w:val="en-US" w:eastAsia="zh-CN"/>
        </w:rPr>
        <w:t>919.17</w:t>
      </w:r>
      <w:r>
        <w:rPr>
          <w:rStyle w:val="16"/>
          <w:rFonts w:hint="eastAsia" w:ascii="仿宋_GB2312" w:hAnsi="楷体" w:eastAsia="仿宋_GB2312"/>
          <w:b w:val="0"/>
          <w:spacing w:val="-4"/>
          <w:sz w:val="28"/>
          <w:szCs w:val="28"/>
          <w:highlight w:val="none"/>
        </w:rPr>
        <w:t>万元增加</w:t>
      </w:r>
      <w:r>
        <w:rPr>
          <w:rStyle w:val="16"/>
          <w:rFonts w:hint="eastAsia" w:ascii="仿宋_GB2312" w:hAnsi="楷体" w:eastAsia="仿宋_GB2312"/>
          <w:b w:val="0"/>
          <w:spacing w:val="-4"/>
          <w:sz w:val="28"/>
          <w:szCs w:val="28"/>
          <w:highlight w:val="none"/>
          <w:lang w:val="en-US" w:eastAsia="zh-CN"/>
        </w:rPr>
        <w:t>154.38</w:t>
      </w:r>
      <w:r>
        <w:rPr>
          <w:rStyle w:val="16"/>
          <w:rFonts w:hint="eastAsia" w:ascii="仿宋_GB2312" w:hAnsi="楷体" w:eastAsia="仿宋_GB2312"/>
          <w:b w:val="0"/>
          <w:spacing w:val="-4"/>
          <w:sz w:val="28"/>
          <w:szCs w:val="28"/>
          <w:highlight w:val="none"/>
        </w:rPr>
        <w:t>万元，上升</w:t>
      </w:r>
      <w:r>
        <w:rPr>
          <w:rStyle w:val="16"/>
          <w:rFonts w:hint="eastAsia" w:ascii="仿宋_GB2312" w:hAnsi="楷体" w:eastAsia="仿宋_GB2312"/>
          <w:b w:val="0"/>
          <w:spacing w:val="-4"/>
          <w:sz w:val="28"/>
          <w:szCs w:val="28"/>
          <w:highlight w:val="none"/>
          <w:lang w:val="en-US" w:eastAsia="zh-CN"/>
        </w:rPr>
        <w:t>16.80</w:t>
      </w:r>
      <w:r>
        <w:rPr>
          <w:rStyle w:val="16"/>
          <w:rFonts w:hint="eastAsia" w:ascii="仿宋_GB2312" w:hAnsi="楷体" w:eastAsia="仿宋_GB2312"/>
          <w:b w:val="0"/>
          <w:spacing w:val="-4"/>
          <w:sz w:val="28"/>
          <w:szCs w:val="28"/>
          <w:highlight w:val="none"/>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2021年实际决算支出</w:t>
      </w:r>
      <w:r>
        <w:rPr>
          <w:rStyle w:val="16"/>
          <w:rFonts w:hint="eastAsia" w:ascii="仿宋_GB2312" w:hAnsi="楷体" w:eastAsia="仿宋_GB2312"/>
          <w:b w:val="0"/>
          <w:spacing w:val="-4"/>
          <w:sz w:val="28"/>
          <w:szCs w:val="28"/>
          <w:lang w:val="en-US" w:eastAsia="zh-CN"/>
        </w:rPr>
        <w:t>1073.55</w:t>
      </w:r>
      <w:r>
        <w:rPr>
          <w:rStyle w:val="16"/>
          <w:rFonts w:hint="eastAsia" w:ascii="仿宋_GB2312" w:hAnsi="楷体" w:eastAsia="仿宋_GB2312"/>
          <w:b w:val="0"/>
          <w:spacing w:val="-4"/>
          <w:sz w:val="28"/>
          <w:szCs w:val="28"/>
        </w:rPr>
        <w:t>万元，执行率100%，其中：</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（1）基本支出</w:t>
      </w:r>
      <w:r>
        <w:rPr>
          <w:rStyle w:val="16"/>
          <w:rFonts w:hint="eastAsia" w:ascii="仿宋_GB2312" w:hAnsi="楷体" w:eastAsia="仿宋_GB2312"/>
          <w:b w:val="0"/>
          <w:spacing w:val="-4"/>
          <w:sz w:val="28"/>
          <w:szCs w:val="28"/>
          <w:lang w:val="en-US" w:eastAsia="zh-CN"/>
        </w:rPr>
        <w:t>1073.55</w:t>
      </w:r>
      <w:r>
        <w:rPr>
          <w:rStyle w:val="16"/>
          <w:rFonts w:hint="eastAsia" w:ascii="仿宋_GB2312" w:hAnsi="楷体" w:eastAsia="仿宋_GB2312"/>
          <w:b w:val="0"/>
          <w:spacing w:val="-4"/>
          <w:sz w:val="28"/>
          <w:szCs w:val="28"/>
        </w:rPr>
        <w:t>万元，占总支出的100％，主要用于特克斯县第二</w:t>
      </w:r>
      <w:r>
        <w:rPr>
          <w:rStyle w:val="16"/>
          <w:rFonts w:hint="eastAsia" w:ascii="仿宋_GB2312" w:hAnsi="楷体" w:eastAsia="仿宋_GB2312"/>
          <w:b w:val="0"/>
          <w:spacing w:val="-4"/>
          <w:sz w:val="28"/>
          <w:szCs w:val="28"/>
          <w:lang w:val="en-US" w:eastAsia="zh-CN"/>
        </w:rPr>
        <w:t>中学</w:t>
      </w:r>
      <w:r>
        <w:rPr>
          <w:rStyle w:val="16"/>
          <w:rFonts w:hint="eastAsia" w:ascii="仿宋_GB2312" w:hAnsi="楷体" w:eastAsia="仿宋_GB2312"/>
          <w:b w:val="0"/>
          <w:spacing w:val="-4"/>
          <w:sz w:val="28"/>
          <w:szCs w:val="28"/>
        </w:rPr>
        <w:t>机构正常运转、完成日常工作任务而发生的各项支出。其中：工资福利支出</w:t>
      </w:r>
      <w:r>
        <w:rPr>
          <w:rStyle w:val="16"/>
          <w:rFonts w:hint="eastAsia" w:ascii="仿宋_GB2312" w:hAnsi="楷体" w:eastAsia="仿宋_GB2312"/>
          <w:b w:val="0"/>
          <w:spacing w:val="-4"/>
          <w:sz w:val="28"/>
          <w:szCs w:val="28"/>
          <w:lang w:val="en-US" w:eastAsia="zh-CN"/>
        </w:rPr>
        <w:t>934.70</w:t>
      </w:r>
      <w:r>
        <w:rPr>
          <w:rStyle w:val="16"/>
          <w:rFonts w:hint="eastAsia" w:ascii="仿宋_GB2312" w:hAnsi="楷体" w:eastAsia="仿宋_GB2312"/>
          <w:b w:val="0"/>
          <w:spacing w:val="-4"/>
          <w:sz w:val="28"/>
          <w:szCs w:val="28"/>
        </w:rPr>
        <w:t>万元，主要用于在职和离退休人员基本工资、津贴补贴等人员经费。商品和服务支出</w:t>
      </w:r>
      <w:r>
        <w:rPr>
          <w:rStyle w:val="16"/>
          <w:rFonts w:hint="eastAsia" w:ascii="仿宋_GB2312" w:hAnsi="楷体" w:eastAsia="仿宋_GB2312"/>
          <w:b w:val="0"/>
          <w:spacing w:val="-4"/>
          <w:sz w:val="28"/>
          <w:szCs w:val="28"/>
          <w:lang w:val="en-US" w:eastAsia="zh-CN"/>
        </w:rPr>
        <w:t>114.65</w:t>
      </w:r>
      <w:r>
        <w:rPr>
          <w:rStyle w:val="16"/>
          <w:rFonts w:hint="eastAsia" w:ascii="仿宋_GB2312" w:hAnsi="楷体" w:eastAsia="仿宋_GB2312"/>
          <w:b w:val="0"/>
          <w:spacing w:val="-4"/>
          <w:sz w:val="28"/>
          <w:szCs w:val="28"/>
        </w:rPr>
        <w:t>万元，主要用于办公费、印刷费、水电费、办公设备购置等。对个人和家庭的补助</w:t>
      </w:r>
      <w:r>
        <w:rPr>
          <w:rStyle w:val="16"/>
          <w:rFonts w:hint="eastAsia" w:ascii="仿宋_GB2312" w:hAnsi="楷体" w:eastAsia="仿宋_GB2312"/>
          <w:b w:val="0"/>
          <w:spacing w:val="-4"/>
          <w:sz w:val="28"/>
          <w:szCs w:val="28"/>
          <w:lang w:val="en-US" w:eastAsia="zh-CN"/>
        </w:rPr>
        <w:t>24.20</w:t>
      </w:r>
      <w:r>
        <w:rPr>
          <w:rStyle w:val="16"/>
          <w:rFonts w:hint="eastAsia" w:ascii="仿宋_GB2312" w:hAnsi="楷体" w:eastAsia="仿宋_GB2312"/>
          <w:b w:val="0"/>
          <w:spacing w:val="-4"/>
          <w:sz w:val="28"/>
          <w:szCs w:val="28"/>
        </w:rPr>
        <w:t>万元，主要用于：人员支出和公用支出。公用经费主要包括：办公费、印刷费、手续费、水费、电费、邮电费、取暖费、物业管理费、差旅费、维修（护）费、租赁费、会议费、培训费、专用材料费、专用燃料费、劳务费、工会经费、福利费、其他交通费用、税金及附加费用、其他商品和服务支出、办公设备购置、专用设备购置等。</w:t>
      </w:r>
    </w:p>
    <w:p>
      <w:pPr>
        <w:spacing w:line="360" w:lineRule="auto"/>
        <w:ind w:firstLine="544" w:firstLineChars="200"/>
        <w:rPr>
          <w:rStyle w:val="16"/>
          <w:rFonts w:ascii="仿宋_GB2312" w:hAnsi="楷体" w:eastAsia="仿宋_GB2312"/>
          <w:b w:val="0"/>
          <w:spacing w:val="-4"/>
          <w:sz w:val="28"/>
          <w:szCs w:val="28"/>
          <w:highlight w:val="none"/>
        </w:rPr>
      </w:pPr>
      <w:bookmarkStart w:id="9" w:name="_Toc70450296"/>
      <w:r>
        <w:rPr>
          <w:rStyle w:val="16"/>
          <w:rFonts w:hint="eastAsia" w:ascii="仿宋_GB2312" w:hAnsi="楷体" w:eastAsia="仿宋_GB2312"/>
          <w:b w:val="0"/>
          <w:spacing w:val="-4"/>
          <w:sz w:val="28"/>
          <w:szCs w:val="28"/>
          <w:highlight w:val="none"/>
        </w:rPr>
        <w:t>（2）项目支出0万元，占总支出的0％。</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w:t>
      </w:r>
      <w:r>
        <w:rPr>
          <w:rStyle w:val="16"/>
          <w:rFonts w:ascii="仿宋_GB2312" w:hAnsi="楷体" w:eastAsia="仿宋_GB2312"/>
          <w:b w:val="0"/>
          <w:spacing w:val="-4"/>
          <w:sz w:val="28"/>
          <w:szCs w:val="28"/>
          <w:highlight w:val="none"/>
        </w:rPr>
        <w:t>3</w:t>
      </w:r>
      <w:r>
        <w:rPr>
          <w:rStyle w:val="16"/>
          <w:rFonts w:hint="eastAsia" w:ascii="仿宋_GB2312" w:hAnsi="楷体" w:eastAsia="仿宋_GB2312"/>
          <w:b w:val="0"/>
          <w:spacing w:val="-4"/>
          <w:sz w:val="28"/>
          <w:szCs w:val="28"/>
          <w:highlight w:val="none"/>
        </w:rPr>
        <w:t>）本年度重点项目支出0万元，重点支出保障率0%。</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（4）本年度我单位无政府采购预算。</w:t>
      </w:r>
    </w:p>
    <w:p>
      <w:pPr>
        <w:pStyle w:val="5"/>
        <w:spacing w:line="360" w:lineRule="auto"/>
        <w:ind w:firstLine="562" w:firstLineChars="200"/>
        <w:rPr>
          <w:rStyle w:val="16"/>
          <w:rFonts w:ascii="仿宋" w:hAnsi="仿宋" w:eastAsia="仿宋"/>
          <w:b/>
          <w:bCs/>
        </w:rPr>
      </w:pPr>
      <w:r>
        <w:rPr>
          <w:rStyle w:val="16"/>
          <w:rFonts w:ascii="仿宋" w:hAnsi="仿宋" w:eastAsia="仿宋"/>
          <w:b/>
          <w:bCs/>
        </w:rPr>
        <w:t>2</w:t>
      </w:r>
      <w:r>
        <w:rPr>
          <w:rStyle w:val="16"/>
          <w:rFonts w:hint="eastAsia" w:ascii="仿宋" w:hAnsi="仿宋" w:eastAsia="仿宋"/>
          <w:b/>
          <w:bCs/>
        </w:rPr>
        <w:t>、整体支出评价使用方法和主要内容、涉及对象及范围等</w:t>
      </w:r>
      <w:bookmarkEnd w:id="9"/>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（1）整体支出评价使用方法</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本次项目支出绩效自评采用因素分析法方法，原因是：</w:t>
      </w:r>
      <w:r>
        <w:rPr>
          <w:rStyle w:val="16"/>
          <w:rFonts w:hint="eastAsia" w:ascii="仿宋_GB2312" w:hAnsi="楷体" w:eastAsia="仿宋_GB2312"/>
          <w:b w:val="0"/>
          <w:spacing w:val="-4"/>
          <w:sz w:val="28"/>
          <w:szCs w:val="28"/>
          <w:lang w:val="en-US" w:eastAsia="zh-CN"/>
        </w:rPr>
        <w:t>特克斯县</w:t>
      </w:r>
      <w:r>
        <w:rPr>
          <w:rStyle w:val="16"/>
          <w:rFonts w:hint="eastAsia" w:ascii="仿宋_GB2312" w:hAnsi="楷体" w:eastAsia="仿宋_GB2312"/>
          <w:b w:val="0"/>
          <w:spacing w:val="-4"/>
          <w:sz w:val="28"/>
          <w:szCs w:val="28"/>
        </w:rPr>
        <w:t>第二</w:t>
      </w:r>
      <w:r>
        <w:rPr>
          <w:rStyle w:val="16"/>
          <w:rFonts w:hint="eastAsia" w:ascii="仿宋_GB2312" w:hAnsi="楷体" w:eastAsia="仿宋_GB2312"/>
          <w:b w:val="0"/>
          <w:spacing w:val="-4"/>
          <w:sz w:val="28"/>
          <w:szCs w:val="28"/>
          <w:lang w:val="en-US" w:eastAsia="zh-CN"/>
        </w:rPr>
        <w:t>中学</w:t>
      </w:r>
      <w:r>
        <w:rPr>
          <w:rStyle w:val="16"/>
          <w:rFonts w:hint="eastAsia" w:ascii="仿宋_GB2312" w:hAnsi="楷体" w:eastAsia="仿宋_GB2312"/>
          <w:b w:val="0"/>
          <w:spacing w:val="-4"/>
          <w:sz w:val="28"/>
          <w:szCs w:val="28"/>
        </w:rPr>
        <w:t>从数量上确定各因素对分析指标影响方向和影响程度一种方法，运用因素分析法应注意因素关联性、顺序性。</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（2）整体支出评价主要内容</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1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绩效目标的设定情况。重点评价绩效目标设立的充分性、明确性、合理性以及细化程度。</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2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②</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资金投入和使用情况。重点评价资金分配过程、投入方式、资金到位、预算执行和结果。</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3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③</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为实现绩效目标制定的制度、采取的措施等。包括项目管理制度、财务管理制度、资产管理制度和绩效跟踪管理措施等。</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4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④</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（3）整体支出评价涉及对象及范围</w:t>
      </w:r>
    </w:p>
    <w:p>
      <w:pPr>
        <w:spacing w:line="360" w:lineRule="auto"/>
        <w:ind w:firstLine="544" w:firstLineChars="200"/>
        <w:rPr>
          <w:rStyle w:val="16"/>
          <w:rFonts w:ascii="仿宋_GB2312" w:hAnsi="楷体" w:eastAsia="仿宋_GB2312"/>
          <w:b w:val="0"/>
          <w:spacing w:val="-4"/>
          <w:sz w:val="28"/>
          <w:szCs w:val="28"/>
        </w:rPr>
      </w:pPr>
      <w:bookmarkStart w:id="10" w:name="_Toc70450297"/>
      <w:r>
        <w:rPr>
          <w:rStyle w:val="16"/>
          <w:rFonts w:hint="eastAsia" w:ascii="仿宋_GB2312" w:hAnsi="楷体" w:eastAsia="仿宋_GB2312"/>
          <w:b w:val="0"/>
          <w:spacing w:val="-4"/>
          <w:sz w:val="28"/>
          <w:szCs w:val="28"/>
        </w:rPr>
        <w:t>涉及对象：本次评价对象是特克斯县第二</w:t>
      </w:r>
      <w:r>
        <w:rPr>
          <w:rStyle w:val="16"/>
          <w:rFonts w:hint="eastAsia" w:ascii="仿宋_GB2312" w:hAnsi="楷体" w:eastAsia="仿宋_GB2312"/>
          <w:b w:val="0"/>
          <w:spacing w:val="-4"/>
          <w:sz w:val="28"/>
          <w:szCs w:val="28"/>
          <w:lang w:val="en-US" w:eastAsia="zh-CN"/>
        </w:rPr>
        <w:t>中学</w:t>
      </w:r>
      <w:r>
        <w:rPr>
          <w:rStyle w:val="16"/>
          <w:rFonts w:hint="eastAsia" w:ascii="仿宋_GB2312" w:hAnsi="楷体" w:eastAsia="仿宋_GB2312"/>
          <w:b w:val="0"/>
          <w:spacing w:val="-4"/>
          <w:sz w:val="28"/>
          <w:szCs w:val="28"/>
        </w:rPr>
        <w:t>所有财政资金支出活动。</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整体支出评价范围：</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fldChar w:fldCharType="begin"/>
      </w:r>
      <w:r>
        <w:rPr>
          <w:rStyle w:val="16"/>
          <w:rFonts w:hint="eastAsia" w:ascii="仿宋_GB2312" w:hAnsi="楷体" w:eastAsia="仿宋_GB2312"/>
          <w:b w:val="0"/>
          <w:spacing w:val="-4"/>
          <w:sz w:val="28"/>
          <w:szCs w:val="28"/>
        </w:rPr>
        <w:instrText xml:space="preserve"> = 1 \* GB3 </w:instrText>
      </w:r>
      <w:r>
        <w:rPr>
          <w:rStyle w:val="16"/>
          <w:rFonts w:hint="eastAsia"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hint="eastAsia"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基本支出</w:t>
      </w:r>
      <w:r>
        <w:rPr>
          <w:rStyle w:val="16"/>
          <w:rFonts w:hint="eastAsia" w:ascii="仿宋_GB2312" w:hAnsi="楷体" w:eastAsia="仿宋_GB2312"/>
          <w:b w:val="0"/>
          <w:spacing w:val="-4"/>
          <w:sz w:val="28"/>
          <w:szCs w:val="28"/>
          <w:lang w:val="en-US" w:eastAsia="zh-CN"/>
        </w:rPr>
        <w:t>1073.55</w:t>
      </w:r>
      <w:r>
        <w:rPr>
          <w:rStyle w:val="16"/>
          <w:rFonts w:hint="eastAsia" w:ascii="仿宋_GB2312" w:hAnsi="楷体" w:eastAsia="仿宋_GB2312"/>
          <w:b w:val="0"/>
          <w:spacing w:val="-4"/>
          <w:sz w:val="28"/>
          <w:szCs w:val="28"/>
        </w:rPr>
        <w:t>万元，其中：工资福利支出</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商品和服务支出</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对个人和家庭的补助。</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fldChar w:fldCharType="begin"/>
      </w:r>
      <w:r>
        <w:rPr>
          <w:rStyle w:val="16"/>
          <w:rFonts w:hint="eastAsia" w:ascii="仿宋_GB2312" w:hAnsi="楷体" w:eastAsia="仿宋_GB2312"/>
          <w:b w:val="0"/>
          <w:spacing w:val="-4"/>
          <w:sz w:val="28"/>
          <w:szCs w:val="28"/>
          <w:highlight w:val="none"/>
        </w:rPr>
        <w:instrText xml:space="preserve"> = 2 \* GB3 </w:instrText>
      </w:r>
      <w:r>
        <w:rPr>
          <w:rStyle w:val="16"/>
          <w:rFonts w:hint="eastAsia" w:ascii="仿宋_GB2312" w:hAnsi="楷体" w:eastAsia="仿宋_GB2312"/>
          <w:b w:val="0"/>
          <w:spacing w:val="-4"/>
          <w:sz w:val="28"/>
          <w:szCs w:val="28"/>
          <w:highlight w:val="none"/>
        </w:rPr>
        <w:fldChar w:fldCharType="separate"/>
      </w:r>
      <w:r>
        <w:rPr>
          <w:rStyle w:val="16"/>
          <w:rFonts w:hint="eastAsia" w:ascii="仿宋_GB2312" w:hAnsi="楷体" w:eastAsia="仿宋_GB2312"/>
          <w:b w:val="0"/>
          <w:spacing w:val="-4"/>
          <w:sz w:val="28"/>
          <w:szCs w:val="28"/>
          <w:highlight w:val="none"/>
        </w:rPr>
        <w:t>②</w:t>
      </w:r>
      <w:r>
        <w:rPr>
          <w:rStyle w:val="16"/>
          <w:rFonts w:hint="eastAsia" w:ascii="仿宋_GB2312" w:hAnsi="楷体" w:eastAsia="仿宋_GB2312"/>
          <w:b w:val="0"/>
          <w:spacing w:val="-4"/>
          <w:sz w:val="28"/>
          <w:szCs w:val="28"/>
          <w:highlight w:val="none"/>
        </w:rPr>
        <w:fldChar w:fldCharType="end"/>
      </w:r>
      <w:r>
        <w:rPr>
          <w:rStyle w:val="16"/>
          <w:rFonts w:hint="eastAsia" w:ascii="仿宋_GB2312" w:hAnsi="楷体" w:eastAsia="仿宋_GB2312"/>
          <w:b w:val="0"/>
          <w:spacing w:val="-4"/>
          <w:sz w:val="28"/>
          <w:szCs w:val="28"/>
          <w:highlight w:val="none"/>
        </w:rPr>
        <w:t>项目支出</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万元。</w:t>
      </w:r>
    </w:p>
    <w:p>
      <w:pPr>
        <w:pStyle w:val="3"/>
        <w:spacing w:line="360" w:lineRule="auto"/>
        <w:rPr>
          <w:rFonts w:ascii="仿宋" w:hAnsi="仿宋" w:eastAsia="仿宋"/>
          <w:sz w:val="36"/>
          <w:szCs w:val="36"/>
          <w:lang w:bidi="ar"/>
        </w:rPr>
      </w:pPr>
      <w:r>
        <w:rPr>
          <w:rFonts w:hint="eastAsia" w:ascii="仿宋" w:hAnsi="仿宋" w:eastAsia="仿宋"/>
          <w:sz w:val="36"/>
          <w:szCs w:val="36"/>
          <w:lang w:bidi="ar"/>
        </w:rPr>
        <w:t>二、部门单位整体支出管理及使用情况</w:t>
      </w:r>
      <w:bookmarkEnd w:id="10"/>
    </w:p>
    <w:p>
      <w:pPr>
        <w:pStyle w:val="4"/>
        <w:spacing w:line="360" w:lineRule="auto"/>
        <w:rPr>
          <w:rStyle w:val="16"/>
          <w:rFonts w:ascii="仿宋" w:hAnsi="仿宋" w:eastAsia="仿宋"/>
          <w:b/>
          <w:bCs/>
        </w:rPr>
      </w:pPr>
      <w:bookmarkStart w:id="11" w:name="_Toc70450298"/>
      <w:r>
        <w:rPr>
          <w:rStyle w:val="16"/>
          <w:rFonts w:hint="eastAsia" w:ascii="仿宋" w:hAnsi="仿宋" w:eastAsia="仿宋"/>
          <w:b/>
          <w:bCs/>
        </w:rPr>
        <w:t>（一）预算管理</w:t>
      </w:r>
      <w:bookmarkEnd w:id="11"/>
    </w:p>
    <w:p>
      <w:pPr>
        <w:pStyle w:val="5"/>
        <w:spacing w:line="360" w:lineRule="auto"/>
        <w:ind w:firstLine="562" w:firstLineChars="200"/>
        <w:rPr>
          <w:rStyle w:val="16"/>
          <w:rFonts w:ascii="仿宋" w:hAnsi="仿宋" w:eastAsia="仿宋"/>
          <w:b/>
          <w:bCs/>
        </w:rPr>
      </w:pPr>
      <w:bookmarkStart w:id="12" w:name="_Toc70450299"/>
      <w:r>
        <w:rPr>
          <w:rStyle w:val="16"/>
          <w:rFonts w:ascii="仿宋" w:hAnsi="仿宋" w:eastAsia="仿宋"/>
          <w:b/>
          <w:bCs/>
        </w:rPr>
        <w:t>1</w:t>
      </w:r>
      <w:r>
        <w:rPr>
          <w:rStyle w:val="16"/>
          <w:rFonts w:hint="eastAsia" w:ascii="仿宋" w:hAnsi="仿宋" w:eastAsia="仿宋"/>
          <w:b/>
          <w:bCs/>
        </w:rPr>
        <w:t>、预算编制管理</w:t>
      </w:r>
      <w:bookmarkEnd w:id="12"/>
    </w:p>
    <w:p>
      <w:pPr>
        <w:spacing w:line="360" w:lineRule="auto"/>
        <w:ind w:firstLine="544" w:firstLineChars="200"/>
        <w:rPr>
          <w:rStyle w:val="16"/>
          <w:rFonts w:ascii="仿宋_GB2312" w:hAnsi="楷体" w:eastAsia="仿宋_GB2312"/>
          <w:b w:val="0"/>
          <w:spacing w:val="-4"/>
          <w:sz w:val="28"/>
          <w:szCs w:val="28"/>
        </w:rPr>
      </w:pPr>
      <w:bookmarkStart w:id="13" w:name="_Toc70450300"/>
      <w:r>
        <w:rPr>
          <w:rStyle w:val="16"/>
          <w:rFonts w:hint="eastAsia" w:ascii="仿宋_GB2312" w:hAnsi="楷体" w:eastAsia="仿宋_GB2312"/>
          <w:b w:val="0"/>
          <w:spacing w:val="-4"/>
          <w:sz w:val="28"/>
          <w:szCs w:val="28"/>
        </w:rPr>
        <w:t>特克斯县第二</w:t>
      </w:r>
      <w:r>
        <w:rPr>
          <w:rStyle w:val="16"/>
          <w:rFonts w:hint="eastAsia" w:ascii="仿宋_GB2312" w:hAnsi="楷体" w:eastAsia="仿宋_GB2312"/>
          <w:b w:val="0"/>
          <w:spacing w:val="-4"/>
          <w:sz w:val="28"/>
          <w:szCs w:val="28"/>
          <w:lang w:val="en-US" w:eastAsia="zh-CN"/>
        </w:rPr>
        <w:t>中学</w:t>
      </w:r>
      <w:r>
        <w:rPr>
          <w:rStyle w:val="16"/>
          <w:rFonts w:hint="eastAsia" w:ascii="仿宋_GB2312" w:hAnsi="楷体" w:eastAsia="仿宋_GB2312"/>
          <w:b w:val="0"/>
          <w:spacing w:val="-4"/>
          <w:sz w:val="28"/>
          <w:szCs w:val="28"/>
        </w:rPr>
        <w:t>严格按照财政部门预算编制与预算调整的工作要求，在预算编制、分配依据充分的条件下，切实做好“先定目标再编预算”，确保预算分配结果合理。同时按照特克斯县</w:t>
      </w:r>
      <w:r>
        <w:rPr>
          <w:rStyle w:val="16"/>
          <w:rFonts w:hint="eastAsia" w:ascii="仿宋_GB2312" w:hAnsi="楷体" w:eastAsia="仿宋_GB2312"/>
          <w:b w:val="0"/>
          <w:spacing w:val="-4"/>
          <w:sz w:val="28"/>
          <w:szCs w:val="28"/>
          <w:lang w:val="en-US" w:eastAsia="zh-CN"/>
        </w:rPr>
        <w:t>财政局</w:t>
      </w:r>
      <w:r>
        <w:rPr>
          <w:rStyle w:val="16"/>
          <w:rFonts w:hint="eastAsia" w:ascii="仿宋_GB2312" w:hAnsi="楷体" w:eastAsia="仿宋_GB2312"/>
          <w:b w:val="0"/>
          <w:spacing w:val="-4"/>
          <w:sz w:val="28"/>
          <w:szCs w:val="28"/>
        </w:rPr>
        <w:t>要求，部门预算及绩效目标在特克斯县人民政府政务网站公开，</w:t>
      </w:r>
      <w:r>
        <w:rPr>
          <w:rStyle w:val="16"/>
          <w:rFonts w:hint="eastAsia" w:ascii="仿宋_GB2312" w:hAnsi="楷体" w:eastAsia="仿宋_GB2312"/>
          <w:b w:val="0"/>
          <w:spacing w:val="-4"/>
          <w:sz w:val="28"/>
          <w:szCs w:val="28"/>
          <w:lang w:val="zh-CN"/>
        </w:rPr>
        <w:t>广泛接受社会监督。</w:t>
      </w:r>
    </w:p>
    <w:p>
      <w:pPr>
        <w:pStyle w:val="5"/>
        <w:spacing w:line="360" w:lineRule="auto"/>
        <w:ind w:firstLine="562" w:firstLineChars="200"/>
        <w:rPr>
          <w:rStyle w:val="16"/>
          <w:rFonts w:ascii="仿宋" w:hAnsi="仿宋" w:eastAsia="仿宋"/>
          <w:b/>
          <w:bCs/>
        </w:rPr>
      </w:pPr>
      <w:r>
        <w:rPr>
          <w:rStyle w:val="16"/>
          <w:rFonts w:hint="eastAsia" w:ascii="仿宋" w:hAnsi="仿宋" w:eastAsia="仿宋"/>
          <w:b/>
          <w:bCs/>
        </w:rPr>
        <w:t>2</w:t>
      </w:r>
      <w:r>
        <w:rPr>
          <w:rStyle w:val="16"/>
          <w:rFonts w:ascii="仿宋" w:hAnsi="仿宋" w:eastAsia="仿宋"/>
          <w:b/>
          <w:bCs/>
        </w:rPr>
        <w:t>、预算</w:t>
      </w:r>
      <w:r>
        <w:rPr>
          <w:rStyle w:val="16"/>
          <w:rFonts w:hint="eastAsia" w:ascii="仿宋" w:hAnsi="仿宋" w:eastAsia="仿宋"/>
          <w:b/>
          <w:bCs/>
        </w:rPr>
        <w:t>支出</w:t>
      </w:r>
      <w:r>
        <w:rPr>
          <w:rStyle w:val="16"/>
          <w:rFonts w:ascii="仿宋" w:hAnsi="仿宋" w:eastAsia="仿宋"/>
          <w:b/>
          <w:bCs/>
        </w:rPr>
        <w:t>管理</w:t>
      </w:r>
      <w:bookmarkEnd w:id="13"/>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特克斯县第二</w:t>
      </w:r>
      <w:r>
        <w:rPr>
          <w:rStyle w:val="16"/>
          <w:rFonts w:hint="eastAsia" w:ascii="仿宋_GB2312" w:hAnsi="楷体" w:eastAsia="仿宋_GB2312"/>
          <w:b w:val="0"/>
          <w:spacing w:val="-4"/>
          <w:sz w:val="28"/>
          <w:szCs w:val="28"/>
          <w:lang w:val="en-US" w:eastAsia="zh-CN"/>
        </w:rPr>
        <w:t>中学</w:t>
      </w:r>
      <w:r>
        <w:rPr>
          <w:rStyle w:val="16"/>
          <w:rFonts w:hint="eastAsia" w:ascii="仿宋_GB2312" w:hAnsi="楷体" w:eastAsia="仿宋_GB2312"/>
          <w:b w:val="0"/>
          <w:spacing w:val="-4"/>
          <w:sz w:val="28"/>
          <w:szCs w:val="28"/>
        </w:rPr>
        <w:t>按照财政要求基本支出分月度申报资金使用计划，由财政部门按照进度每月按期拨付，人员支出按照工资计划发放工资；依照特克斯县第二</w:t>
      </w:r>
      <w:r>
        <w:rPr>
          <w:rStyle w:val="16"/>
          <w:rFonts w:hint="eastAsia" w:ascii="仿宋_GB2312" w:hAnsi="楷体" w:eastAsia="仿宋_GB2312"/>
          <w:b w:val="0"/>
          <w:spacing w:val="-4"/>
          <w:sz w:val="28"/>
          <w:szCs w:val="28"/>
          <w:lang w:val="en-US" w:eastAsia="zh-CN"/>
        </w:rPr>
        <w:t>中学</w:t>
      </w:r>
      <w:r>
        <w:rPr>
          <w:rStyle w:val="16"/>
          <w:rFonts w:hint="eastAsia" w:ascii="仿宋_GB2312" w:hAnsi="楷体" w:eastAsia="仿宋_GB2312"/>
          <w:b w:val="0"/>
          <w:spacing w:val="-4"/>
          <w:sz w:val="28"/>
          <w:szCs w:val="28"/>
        </w:rPr>
        <w:t>《财务管理制度》相关规定和特克斯县第二</w:t>
      </w:r>
      <w:r>
        <w:rPr>
          <w:rStyle w:val="16"/>
          <w:rFonts w:hint="eastAsia" w:ascii="仿宋_GB2312" w:hAnsi="楷体" w:eastAsia="仿宋_GB2312"/>
          <w:b w:val="0"/>
          <w:spacing w:val="-4"/>
          <w:sz w:val="28"/>
          <w:szCs w:val="28"/>
          <w:lang w:val="en-US" w:eastAsia="zh-CN"/>
        </w:rPr>
        <w:t>中学</w:t>
      </w:r>
      <w:r>
        <w:rPr>
          <w:rStyle w:val="16"/>
          <w:rFonts w:hint="eastAsia" w:ascii="仿宋_GB2312" w:hAnsi="楷体" w:eastAsia="仿宋_GB2312"/>
          <w:b w:val="0"/>
          <w:spacing w:val="-4"/>
          <w:sz w:val="28"/>
          <w:szCs w:val="28"/>
        </w:rPr>
        <w:t>《财务管理制度》规定流程，资金支出按照我内控体系中设定的流程申报审批进行；项目支出属于政府采购的，按照局特克斯县第二</w:t>
      </w:r>
      <w:r>
        <w:rPr>
          <w:rStyle w:val="16"/>
          <w:rFonts w:hint="eastAsia" w:ascii="仿宋_GB2312" w:hAnsi="楷体" w:eastAsia="仿宋_GB2312"/>
          <w:b w:val="0"/>
          <w:spacing w:val="-4"/>
          <w:sz w:val="28"/>
          <w:szCs w:val="28"/>
          <w:lang w:val="en-US" w:eastAsia="zh-CN"/>
        </w:rPr>
        <w:t>中学</w:t>
      </w:r>
      <w:r>
        <w:rPr>
          <w:rStyle w:val="16"/>
          <w:rFonts w:hint="eastAsia" w:ascii="仿宋_GB2312" w:hAnsi="楷体" w:eastAsia="仿宋_GB2312"/>
          <w:b w:val="0"/>
          <w:spacing w:val="-4"/>
          <w:sz w:val="28"/>
          <w:szCs w:val="28"/>
        </w:rPr>
        <w:t>《政府采购与招标管理办法》组织人员制定采购计划，按照财政局采购部门批复，进行公开招标、邀请招标等方式进行；属于非政府采购的项目，按照“三重一大”制度规定，重大项目支出上党组会研究决定。</w:t>
      </w:r>
    </w:p>
    <w:p>
      <w:pPr>
        <w:pStyle w:val="4"/>
        <w:spacing w:line="360" w:lineRule="auto"/>
        <w:rPr>
          <w:rStyle w:val="16"/>
          <w:b/>
          <w:bCs/>
          <w:sz w:val="28"/>
          <w:szCs w:val="28"/>
        </w:rPr>
      </w:pPr>
      <w:bookmarkStart w:id="14" w:name="_Toc70450301"/>
      <w:r>
        <w:rPr>
          <w:rStyle w:val="16"/>
          <w:rFonts w:hint="eastAsia"/>
          <w:b/>
          <w:bCs/>
          <w:sz w:val="28"/>
          <w:szCs w:val="28"/>
        </w:rPr>
        <w:t>（二）基本支出管理及使用情况</w:t>
      </w:r>
      <w:bookmarkEnd w:id="14"/>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2021年基本支出预算安排</w:t>
      </w:r>
      <w:r>
        <w:rPr>
          <w:rStyle w:val="16"/>
          <w:rFonts w:hint="eastAsia" w:ascii="仿宋_GB2312" w:hAnsi="楷体" w:eastAsia="仿宋_GB2312"/>
          <w:b w:val="0"/>
          <w:spacing w:val="-4"/>
          <w:sz w:val="28"/>
          <w:szCs w:val="28"/>
          <w:lang w:val="en-US" w:eastAsia="zh-CN"/>
        </w:rPr>
        <w:t>1073.55</w:t>
      </w:r>
      <w:r>
        <w:rPr>
          <w:rStyle w:val="16"/>
          <w:rFonts w:hint="eastAsia" w:ascii="仿宋_GB2312" w:hAnsi="楷体" w:eastAsia="仿宋_GB2312"/>
          <w:b w:val="0"/>
          <w:spacing w:val="-4"/>
          <w:sz w:val="28"/>
          <w:szCs w:val="28"/>
        </w:rPr>
        <w:t>万元，实际到</w:t>
      </w:r>
      <w:r>
        <w:rPr>
          <w:rStyle w:val="16"/>
          <w:rFonts w:hint="eastAsia" w:ascii="仿宋_GB2312" w:hAnsi="楷体" w:eastAsia="仿宋_GB2312"/>
          <w:b w:val="0"/>
          <w:spacing w:val="-4"/>
          <w:sz w:val="28"/>
          <w:szCs w:val="28"/>
          <w:lang w:val="en-US" w:eastAsia="zh-CN"/>
        </w:rPr>
        <w:t>1073.55</w:t>
      </w:r>
      <w:r>
        <w:rPr>
          <w:rStyle w:val="16"/>
          <w:rFonts w:hint="eastAsia" w:ascii="仿宋_GB2312" w:hAnsi="楷体" w:eastAsia="仿宋_GB2312"/>
          <w:b w:val="0"/>
          <w:spacing w:val="-4"/>
          <w:sz w:val="28"/>
          <w:szCs w:val="28"/>
        </w:rPr>
        <w:t>万元,实际支出</w:t>
      </w:r>
      <w:r>
        <w:rPr>
          <w:rStyle w:val="16"/>
          <w:rFonts w:hint="eastAsia" w:ascii="仿宋_GB2312" w:hAnsi="楷体" w:eastAsia="仿宋_GB2312"/>
          <w:b w:val="0"/>
          <w:spacing w:val="-4"/>
          <w:sz w:val="28"/>
          <w:szCs w:val="28"/>
          <w:lang w:val="en-US" w:eastAsia="zh-CN"/>
        </w:rPr>
        <w:t>1073.55</w:t>
      </w:r>
      <w:r>
        <w:rPr>
          <w:rStyle w:val="16"/>
          <w:rFonts w:hint="eastAsia" w:ascii="仿宋_GB2312" w:hAnsi="楷体" w:eastAsia="仿宋_GB2312"/>
          <w:b w:val="0"/>
          <w:spacing w:val="-4"/>
          <w:sz w:val="28"/>
          <w:szCs w:val="28"/>
        </w:rPr>
        <w:t>万元，占总支出的100％，其中：工资福利支出</w:t>
      </w:r>
      <w:r>
        <w:rPr>
          <w:rStyle w:val="16"/>
          <w:rFonts w:hint="eastAsia" w:ascii="仿宋_GB2312" w:hAnsi="楷体" w:eastAsia="仿宋_GB2312"/>
          <w:b w:val="0"/>
          <w:spacing w:val="-4"/>
          <w:sz w:val="28"/>
          <w:szCs w:val="28"/>
          <w:lang w:val="en-US" w:eastAsia="zh-CN"/>
        </w:rPr>
        <w:t>934.70</w:t>
      </w:r>
      <w:r>
        <w:rPr>
          <w:rStyle w:val="16"/>
          <w:rFonts w:hint="eastAsia" w:ascii="仿宋_GB2312" w:hAnsi="楷体" w:eastAsia="仿宋_GB2312"/>
          <w:b w:val="0"/>
          <w:spacing w:val="-4"/>
          <w:sz w:val="28"/>
          <w:szCs w:val="28"/>
        </w:rPr>
        <w:t>万元、商品和服务支出</w:t>
      </w:r>
      <w:r>
        <w:rPr>
          <w:rStyle w:val="16"/>
          <w:rFonts w:hint="eastAsia" w:ascii="仿宋_GB2312" w:hAnsi="楷体" w:eastAsia="仿宋_GB2312"/>
          <w:b w:val="0"/>
          <w:spacing w:val="-4"/>
          <w:sz w:val="28"/>
          <w:szCs w:val="28"/>
          <w:lang w:val="en-US" w:eastAsia="zh-CN"/>
        </w:rPr>
        <w:t>114.65</w:t>
      </w:r>
      <w:r>
        <w:rPr>
          <w:rStyle w:val="16"/>
          <w:rFonts w:hint="eastAsia" w:ascii="仿宋_GB2312" w:hAnsi="楷体" w:eastAsia="仿宋_GB2312"/>
          <w:b w:val="0"/>
          <w:spacing w:val="-4"/>
          <w:sz w:val="28"/>
          <w:szCs w:val="28"/>
        </w:rPr>
        <w:t>万元、对个人和家庭的补助</w:t>
      </w:r>
      <w:r>
        <w:rPr>
          <w:rStyle w:val="16"/>
          <w:rFonts w:hint="eastAsia" w:ascii="仿宋_GB2312" w:hAnsi="楷体" w:eastAsia="仿宋_GB2312"/>
          <w:b w:val="0"/>
          <w:spacing w:val="-4"/>
          <w:sz w:val="28"/>
          <w:szCs w:val="28"/>
          <w:lang w:val="en-US" w:eastAsia="zh-CN"/>
        </w:rPr>
        <w:t>24.20</w:t>
      </w:r>
      <w:r>
        <w:rPr>
          <w:rStyle w:val="16"/>
          <w:rFonts w:hint="eastAsia" w:ascii="仿宋_GB2312" w:hAnsi="楷体" w:eastAsia="仿宋_GB2312"/>
          <w:b w:val="0"/>
          <w:spacing w:val="-4"/>
          <w:sz w:val="28"/>
          <w:szCs w:val="28"/>
        </w:rPr>
        <w:t>万元、主要用于人员工资支出，办公费、印刷费、水电费、办公设备购置等。资本性支出0万元。</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2021年基本支出比上年</w:t>
      </w:r>
      <w:r>
        <w:rPr>
          <w:rStyle w:val="16"/>
          <w:rFonts w:hint="eastAsia" w:ascii="仿宋_GB2312" w:hAnsi="楷体" w:eastAsia="仿宋_GB2312"/>
          <w:b w:val="0"/>
          <w:spacing w:val="-4"/>
          <w:sz w:val="28"/>
          <w:szCs w:val="28"/>
          <w:lang w:val="en-US" w:eastAsia="zh-CN"/>
        </w:rPr>
        <w:t>919.17</w:t>
      </w:r>
      <w:r>
        <w:rPr>
          <w:rStyle w:val="16"/>
          <w:rFonts w:hint="eastAsia" w:ascii="仿宋_GB2312" w:hAnsi="楷体" w:eastAsia="仿宋_GB2312"/>
          <w:b w:val="0"/>
          <w:spacing w:val="-4"/>
          <w:sz w:val="28"/>
          <w:szCs w:val="28"/>
        </w:rPr>
        <w:t>万元,增加</w:t>
      </w:r>
      <w:r>
        <w:rPr>
          <w:rStyle w:val="16"/>
          <w:rFonts w:hint="eastAsia" w:ascii="仿宋_GB2312" w:hAnsi="楷体" w:eastAsia="仿宋_GB2312"/>
          <w:b w:val="0"/>
          <w:spacing w:val="-4"/>
          <w:sz w:val="28"/>
          <w:szCs w:val="28"/>
          <w:lang w:val="en-US" w:eastAsia="zh-CN"/>
        </w:rPr>
        <w:t>154.38</w:t>
      </w:r>
      <w:r>
        <w:rPr>
          <w:rStyle w:val="16"/>
          <w:rFonts w:hint="eastAsia" w:ascii="仿宋_GB2312" w:hAnsi="楷体" w:eastAsia="仿宋_GB2312"/>
          <w:b w:val="0"/>
          <w:spacing w:val="-4"/>
          <w:sz w:val="28"/>
          <w:szCs w:val="28"/>
        </w:rPr>
        <w:t xml:space="preserve">万元，上升 </w:t>
      </w:r>
      <w:r>
        <w:rPr>
          <w:rStyle w:val="16"/>
          <w:rFonts w:hint="eastAsia" w:ascii="仿宋_GB2312" w:hAnsi="楷体" w:eastAsia="仿宋_GB2312"/>
          <w:b w:val="0"/>
          <w:spacing w:val="-4"/>
          <w:sz w:val="28"/>
          <w:szCs w:val="28"/>
          <w:lang w:val="en-US" w:eastAsia="zh-CN"/>
        </w:rPr>
        <w:t>16.80</w:t>
      </w:r>
      <w:r>
        <w:rPr>
          <w:rStyle w:val="16"/>
          <w:rFonts w:hint="eastAsia" w:ascii="仿宋_GB2312" w:hAnsi="楷体" w:eastAsia="仿宋_GB2312"/>
          <w:b w:val="0"/>
          <w:spacing w:val="-4"/>
          <w:sz w:val="28"/>
          <w:szCs w:val="28"/>
        </w:rPr>
        <w:t>%，支出上升的主要原因是人员调整，特岗入编，人数增加，兑现了部分人员职称工资，2021年3月绩效调标，发放2018年.2020年绩效奖金及2020年综合治理奖。</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2021年一般公共预算“三公”经费数为0万元，其中：因公出国（境）费0万元，公务用车购置0万元，公务用车运行费0万元，公务接待费0万元。</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一般公共预算“三公”经费比上年增加0万元，其中：因公出国（境）费增加0万元，主要原因是：2021年我单位未安排三公经费预算；公务用车购置费为0，2021年我单位未安排预算。公务用车运行费增加0万元，主要原因是：2021年我单位未安排预算；公务接待费增加0万元，主要原因是：2021年我单位未安排预算。</w:t>
      </w:r>
    </w:p>
    <w:p>
      <w:pPr>
        <w:pStyle w:val="4"/>
        <w:spacing w:line="360" w:lineRule="auto"/>
        <w:rPr>
          <w:rStyle w:val="16"/>
          <w:rFonts w:ascii="仿宋" w:hAnsi="仿宋" w:eastAsia="仿宋"/>
          <w:b/>
          <w:bCs/>
        </w:rPr>
      </w:pPr>
      <w:bookmarkStart w:id="15" w:name="_Toc70450302"/>
      <w:r>
        <w:rPr>
          <w:rStyle w:val="16"/>
          <w:rFonts w:hint="eastAsia" w:ascii="仿宋" w:hAnsi="仿宋" w:eastAsia="仿宋"/>
          <w:b/>
          <w:bCs/>
        </w:rPr>
        <w:t>（三）专项支出管理及使用情况</w:t>
      </w:r>
      <w:bookmarkEnd w:id="15"/>
    </w:p>
    <w:p>
      <w:pPr>
        <w:pStyle w:val="5"/>
        <w:spacing w:line="360" w:lineRule="auto"/>
        <w:ind w:firstLine="562" w:firstLineChars="200"/>
        <w:rPr>
          <w:rStyle w:val="16"/>
          <w:rFonts w:ascii="仿宋" w:hAnsi="仿宋" w:eastAsia="仿宋"/>
          <w:b/>
          <w:bCs/>
        </w:rPr>
      </w:pPr>
      <w:bookmarkStart w:id="16" w:name="_Toc70450303"/>
      <w:r>
        <w:rPr>
          <w:rStyle w:val="16"/>
          <w:rFonts w:hint="eastAsia" w:ascii="仿宋" w:hAnsi="仿宋" w:eastAsia="仿宋"/>
          <w:b/>
          <w:bCs/>
        </w:rPr>
        <w:t>1、专项资金安排落实、总投入等情况分析</w:t>
      </w:r>
      <w:bookmarkEnd w:id="16"/>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2021年预算安排专项资金 0万元，实际到位0万元, 到位率0％,其中:中央转移支付项目资金0万元，自治区资金0万元，本级安排0万元。</w:t>
      </w:r>
    </w:p>
    <w:p>
      <w:pPr>
        <w:pStyle w:val="5"/>
        <w:spacing w:line="360" w:lineRule="auto"/>
        <w:ind w:firstLine="562" w:firstLineChars="200"/>
        <w:rPr>
          <w:rStyle w:val="16"/>
          <w:rFonts w:ascii="仿宋" w:hAnsi="仿宋" w:eastAsia="仿宋"/>
          <w:b/>
          <w:bCs/>
        </w:rPr>
      </w:pPr>
      <w:bookmarkStart w:id="17" w:name="_Toc70450304"/>
      <w:r>
        <w:rPr>
          <w:rStyle w:val="16"/>
          <w:rFonts w:hint="eastAsia" w:ascii="仿宋" w:hAnsi="仿宋" w:eastAsia="仿宋"/>
          <w:b/>
          <w:bCs/>
        </w:rPr>
        <w:t>2、专项资金实际使用情况</w:t>
      </w:r>
      <w:bookmarkEnd w:id="17"/>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2021年专项资金支出0万元，占总支出的0%，其中2021年专项项目支出比上年0万元增加0万元，上升0 %。支出上升的主要原因是：2021年我单位未安排资金支出。</w:t>
      </w:r>
    </w:p>
    <w:p>
      <w:pPr>
        <w:pStyle w:val="5"/>
        <w:spacing w:line="360" w:lineRule="auto"/>
        <w:ind w:firstLine="562" w:firstLineChars="200"/>
        <w:rPr>
          <w:rStyle w:val="16"/>
          <w:rFonts w:ascii="仿宋" w:hAnsi="仿宋" w:eastAsia="仿宋"/>
          <w:b/>
          <w:bCs/>
        </w:rPr>
      </w:pPr>
      <w:bookmarkStart w:id="18" w:name="_Toc70450305"/>
      <w:r>
        <w:rPr>
          <w:rStyle w:val="16"/>
          <w:rFonts w:hint="eastAsia" w:ascii="仿宋" w:hAnsi="仿宋" w:eastAsia="仿宋"/>
          <w:b/>
          <w:bCs/>
        </w:rPr>
        <w:t>3、专项资金管理情况</w:t>
      </w:r>
      <w:bookmarkEnd w:id="18"/>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为规范专项资金使用，提高专项资金使用效益，我单位主要采取四项措施。</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一是制订专项资金管理制度；二是各专项资金建立了专帐；三是制订了项目实施方案；四是认真组织项目验收。切实确保专项资金都做到了专款专用。其中：</w:t>
      </w:r>
    </w:p>
    <w:p>
      <w:pPr>
        <w:spacing w:line="700" w:lineRule="exact"/>
        <w:ind w:firstLine="641" w:firstLineChars="236"/>
        <w:jc w:val="left"/>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（1）制定了特克斯县第二</w:t>
      </w:r>
      <w:r>
        <w:rPr>
          <w:rStyle w:val="16"/>
          <w:rFonts w:hint="eastAsia" w:ascii="仿宋_GB2312" w:hAnsi="楷体" w:eastAsia="仿宋_GB2312"/>
          <w:b w:val="0"/>
          <w:spacing w:val="-4"/>
          <w:sz w:val="28"/>
          <w:szCs w:val="28"/>
          <w:highlight w:val="none"/>
          <w:lang w:val="en-US" w:eastAsia="zh-CN"/>
        </w:rPr>
        <w:t>中学</w:t>
      </w:r>
      <w:r>
        <w:rPr>
          <w:rStyle w:val="16"/>
          <w:rFonts w:hint="eastAsia" w:ascii="仿宋_GB2312" w:hAnsi="楷体" w:eastAsia="仿宋_GB2312"/>
          <w:b w:val="0"/>
          <w:spacing w:val="-4"/>
          <w:sz w:val="28"/>
          <w:szCs w:val="28"/>
          <w:highlight w:val="none"/>
        </w:rPr>
        <w:t>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w:t>
      </w:r>
      <w:r>
        <w:rPr>
          <w:rStyle w:val="16"/>
          <w:rFonts w:ascii="仿宋_GB2312" w:hAnsi="楷体" w:eastAsia="仿宋_GB2312"/>
          <w:b w:val="0"/>
          <w:spacing w:val="-4"/>
          <w:sz w:val="28"/>
          <w:szCs w:val="28"/>
          <w:highlight w:val="none"/>
        </w:rPr>
        <w:t>2</w:t>
      </w:r>
      <w:r>
        <w:rPr>
          <w:rStyle w:val="16"/>
          <w:rFonts w:hint="eastAsia" w:ascii="仿宋_GB2312" w:hAnsi="楷体" w:eastAsia="仿宋_GB2312"/>
          <w:b w:val="0"/>
          <w:spacing w:val="-4"/>
          <w:sz w:val="28"/>
          <w:szCs w:val="28"/>
          <w:highlight w:val="none"/>
        </w:rPr>
        <w:t>）建立特克斯县第二</w:t>
      </w:r>
      <w:r>
        <w:rPr>
          <w:rStyle w:val="16"/>
          <w:rFonts w:hint="eastAsia" w:ascii="仿宋_GB2312" w:hAnsi="楷体" w:eastAsia="仿宋_GB2312"/>
          <w:b w:val="0"/>
          <w:spacing w:val="-4"/>
          <w:sz w:val="28"/>
          <w:szCs w:val="28"/>
          <w:highlight w:val="none"/>
          <w:lang w:val="en-US" w:eastAsia="zh-CN"/>
        </w:rPr>
        <w:t>中学</w:t>
      </w:r>
      <w:r>
        <w:rPr>
          <w:rStyle w:val="16"/>
          <w:rFonts w:hint="eastAsia" w:ascii="仿宋_GB2312" w:hAnsi="楷体" w:eastAsia="仿宋_GB2312"/>
          <w:b w:val="0"/>
          <w:spacing w:val="-4"/>
          <w:sz w:val="28"/>
          <w:szCs w:val="28"/>
          <w:highlight w:val="none"/>
        </w:rPr>
        <w:t>专项资金专帐，做到有据可依，有据可查。</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（3）制订了特克斯县第二</w:t>
      </w:r>
      <w:r>
        <w:rPr>
          <w:rStyle w:val="16"/>
          <w:rFonts w:hint="eastAsia" w:ascii="仿宋_GB2312" w:hAnsi="楷体" w:eastAsia="仿宋_GB2312"/>
          <w:b w:val="0"/>
          <w:spacing w:val="-4"/>
          <w:sz w:val="28"/>
          <w:szCs w:val="28"/>
          <w:highlight w:val="none"/>
          <w:lang w:val="en-US" w:eastAsia="zh-CN"/>
        </w:rPr>
        <w:t>中学</w:t>
      </w:r>
      <w:r>
        <w:rPr>
          <w:rStyle w:val="16"/>
          <w:rFonts w:hint="eastAsia" w:ascii="仿宋_GB2312" w:hAnsi="楷体" w:eastAsia="仿宋_GB2312"/>
          <w:b w:val="0"/>
          <w:spacing w:val="-4"/>
          <w:sz w:val="28"/>
          <w:szCs w:val="28"/>
          <w:highlight w:val="none"/>
        </w:rPr>
        <w:t>项目实施方案，确保项目顺利进行。</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（4）认真组织特克斯县第二</w:t>
      </w:r>
      <w:r>
        <w:rPr>
          <w:rStyle w:val="16"/>
          <w:rFonts w:hint="eastAsia" w:ascii="仿宋_GB2312" w:hAnsi="楷体" w:eastAsia="仿宋_GB2312"/>
          <w:b w:val="0"/>
          <w:spacing w:val="-4"/>
          <w:sz w:val="28"/>
          <w:szCs w:val="28"/>
          <w:highlight w:val="none"/>
          <w:lang w:val="en-US" w:eastAsia="zh-CN"/>
        </w:rPr>
        <w:t>中学</w:t>
      </w:r>
      <w:r>
        <w:rPr>
          <w:rStyle w:val="16"/>
          <w:rFonts w:hint="eastAsia" w:ascii="仿宋_GB2312" w:hAnsi="楷体" w:eastAsia="仿宋_GB2312"/>
          <w:b w:val="0"/>
          <w:spacing w:val="-4"/>
          <w:sz w:val="28"/>
          <w:szCs w:val="28"/>
          <w:highlight w:val="none"/>
        </w:rPr>
        <w:t>项目验收，确保项目顺利进行。</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专项资金涉及政府采购项目的，按照局《呼吉尔特蒙古民族乡托斯曼小学采购与招标管理办法》组织人员制定采购计划，按照财政局采购部门批复，进行公开招标、邀请招标等方式进行。</w:t>
      </w:r>
    </w:p>
    <w:p>
      <w:pPr>
        <w:pStyle w:val="3"/>
        <w:spacing w:line="360" w:lineRule="auto"/>
        <w:rPr>
          <w:rFonts w:ascii="仿宋" w:hAnsi="仿宋" w:eastAsia="仿宋"/>
          <w:sz w:val="36"/>
          <w:szCs w:val="36"/>
          <w:highlight w:val="none"/>
          <w:lang w:bidi="ar"/>
        </w:rPr>
      </w:pPr>
      <w:bookmarkStart w:id="19" w:name="_Toc70450306"/>
      <w:r>
        <w:rPr>
          <w:rFonts w:hint="eastAsia" w:ascii="仿宋" w:hAnsi="仿宋" w:eastAsia="仿宋"/>
          <w:sz w:val="36"/>
          <w:szCs w:val="36"/>
          <w:highlight w:val="none"/>
          <w:lang w:bidi="ar"/>
        </w:rPr>
        <w:t>三、部门单位专项组织实施情况</w:t>
      </w:r>
      <w:bookmarkEnd w:id="19"/>
    </w:p>
    <w:p>
      <w:pPr>
        <w:spacing w:line="360" w:lineRule="auto"/>
        <w:ind w:firstLine="492" w:firstLineChars="181"/>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2021年我单位未安排项目支出预算.</w:t>
      </w:r>
    </w:p>
    <w:p>
      <w:pPr>
        <w:pStyle w:val="3"/>
        <w:spacing w:line="360" w:lineRule="auto"/>
        <w:rPr>
          <w:rFonts w:ascii="仿宋" w:hAnsi="仿宋" w:eastAsia="仿宋"/>
          <w:sz w:val="36"/>
          <w:szCs w:val="36"/>
          <w:highlight w:val="none"/>
          <w:lang w:bidi="ar"/>
        </w:rPr>
      </w:pPr>
      <w:bookmarkStart w:id="20" w:name="_Toc70450310"/>
      <w:r>
        <w:rPr>
          <w:rFonts w:hint="eastAsia" w:ascii="仿宋" w:hAnsi="仿宋" w:eastAsia="仿宋"/>
          <w:sz w:val="36"/>
          <w:szCs w:val="36"/>
          <w:highlight w:val="none"/>
          <w:lang w:bidi="ar"/>
        </w:rPr>
        <w:t>四、资产管理情况</w:t>
      </w:r>
      <w:bookmarkEnd w:id="20"/>
    </w:p>
    <w:p>
      <w:pPr>
        <w:pStyle w:val="4"/>
        <w:spacing w:line="360" w:lineRule="auto"/>
        <w:rPr>
          <w:rStyle w:val="16"/>
          <w:rFonts w:ascii="仿宋" w:hAnsi="仿宋" w:eastAsia="仿宋"/>
          <w:b/>
          <w:bCs/>
          <w:highlight w:val="none"/>
        </w:rPr>
      </w:pPr>
      <w:bookmarkStart w:id="21" w:name="_Toc70450311"/>
      <w:r>
        <w:rPr>
          <w:rStyle w:val="16"/>
          <w:rFonts w:hint="eastAsia" w:ascii="仿宋" w:hAnsi="仿宋" w:eastAsia="仿宋"/>
          <w:b/>
          <w:bCs/>
          <w:highlight w:val="none"/>
        </w:rPr>
        <w:t>（一）资产配置情况</w:t>
      </w:r>
      <w:bookmarkEnd w:id="21"/>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highlight w:val="none"/>
        </w:rPr>
        <w:t>2021年特克斯县第二</w:t>
      </w:r>
      <w:r>
        <w:rPr>
          <w:rStyle w:val="16"/>
          <w:rFonts w:hint="eastAsia" w:ascii="仿宋_GB2312" w:hAnsi="楷体" w:eastAsia="仿宋_GB2312"/>
          <w:b w:val="0"/>
          <w:spacing w:val="-4"/>
          <w:sz w:val="28"/>
          <w:szCs w:val="28"/>
          <w:highlight w:val="none"/>
          <w:lang w:val="en-US" w:eastAsia="zh-CN"/>
        </w:rPr>
        <w:t>中学</w:t>
      </w:r>
      <w:r>
        <w:rPr>
          <w:rStyle w:val="16"/>
          <w:rFonts w:hint="eastAsia" w:ascii="仿宋_GB2312" w:hAnsi="楷体" w:eastAsia="仿宋_GB2312"/>
          <w:b w:val="0"/>
          <w:spacing w:val="-4"/>
          <w:sz w:val="28"/>
          <w:szCs w:val="28"/>
          <w:highlight w:val="none"/>
        </w:rPr>
        <w:t>资产总额</w:t>
      </w:r>
      <w:r>
        <w:rPr>
          <w:rStyle w:val="16"/>
          <w:rFonts w:hint="eastAsia" w:ascii="仿宋_GB2312" w:hAnsi="楷体" w:eastAsia="仿宋_GB2312"/>
          <w:b w:val="0"/>
          <w:spacing w:val="-4"/>
          <w:sz w:val="28"/>
          <w:szCs w:val="28"/>
          <w:highlight w:val="none"/>
          <w:lang w:val="en-US" w:eastAsia="zh-CN"/>
        </w:rPr>
        <w:t>279.8</w:t>
      </w:r>
      <w:r>
        <w:rPr>
          <w:rStyle w:val="16"/>
          <w:rFonts w:hint="eastAsia" w:ascii="仿宋_GB2312" w:hAnsi="楷体" w:eastAsia="仿宋_GB2312"/>
          <w:b w:val="0"/>
          <w:spacing w:val="-4"/>
          <w:sz w:val="28"/>
          <w:szCs w:val="28"/>
          <w:lang w:val="en-US" w:eastAsia="zh-CN"/>
        </w:rPr>
        <w:t>8</w:t>
      </w:r>
      <w:r>
        <w:rPr>
          <w:rStyle w:val="16"/>
          <w:rFonts w:hint="eastAsia" w:ascii="仿宋_GB2312" w:hAnsi="楷体" w:eastAsia="仿宋_GB2312"/>
          <w:b w:val="0"/>
          <w:spacing w:val="-4"/>
          <w:sz w:val="28"/>
          <w:szCs w:val="28"/>
        </w:rPr>
        <w:t>万元，其中流动资产   0万元，固定资产净值</w:t>
      </w:r>
      <w:r>
        <w:rPr>
          <w:rStyle w:val="16"/>
          <w:rFonts w:hint="eastAsia" w:ascii="仿宋_GB2312" w:hAnsi="楷体" w:eastAsia="仿宋_GB2312"/>
          <w:b w:val="0"/>
          <w:spacing w:val="-4"/>
          <w:sz w:val="28"/>
          <w:szCs w:val="28"/>
          <w:lang w:val="en-US" w:eastAsia="zh-CN"/>
        </w:rPr>
        <w:t>279.88</w:t>
      </w:r>
      <w:r>
        <w:rPr>
          <w:rStyle w:val="16"/>
          <w:rFonts w:hint="eastAsia" w:ascii="仿宋_GB2312" w:hAnsi="楷体" w:eastAsia="仿宋_GB2312"/>
          <w:b w:val="0"/>
          <w:spacing w:val="-4"/>
          <w:sz w:val="28"/>
          <w:szCs w:val="28"/>
        </w:rPr>
        <w:t>万元（其中：土地、房屋及构筑物</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万元，占固定资产净值的</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%；通用设备</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万元，占固定资产净值的</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%；专用设备</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万元，占固定资产净值的</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%；其他）。</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本年度流动资产0万元，比上年增加0万元，原因是：2021年度我单位无流动资产  。</w:t>
      </w:r>
    </w:p>
    <w:p>
      <w:pPr>
        <w:spacing w:line="360" w:lineRule="auto"/>
        <w:ind w:firstLine="544" w:firstLineChars="200"/>
        <w:rPr>
          <w:rStyle w:val="16"/>
          <w:rFonts w:hint="eastAsia" w:ascii="仿宋_GB2312" w:hAnsi="楷体" w:eastAsia="仿宋_GB2312"/>
          <w:b w:val="0"/>
          <w:spacing w:val="-4"/>
          <w:sz w:val="28"/>
          <w:szCs w:val="28"/>
          <w:highlight w:val="none"/>
        </w:rPr>
      </w:pPr>
      <w:r>
        <w:rPr>
          <w:rStyle w:val="16"/>
          <w:rFonts w:hint="eastAsia" w:ascii="仿宋_GB2312" w:hAnsi="宋体" w:eastAsia="仿宋_GB2312"/>
          <w:b w:val="0"/>
          <w:bCs w:val="0"/>
          <w:spacing w:val="-4"/>
          <w:sz w:val="28"/>
          <w:szCs w:val="28"/>
        </w:rPr>
        <w:t>本年度固定资产</w:t>
      </w:r>
      <w:r>
        <w:rPr>
          <w:rStyle w:val="16"/>
          <w:rFonts w:hint="eastAsia" w:ascii="仿宋_GB2312" w:hAnsi="楷体" w:eastAsia="仿宋_GB2312"/>
          <w:b w:val="0"/>
          <w:spacing w:val="-4"/>
          <w:sz w:val="28"/>
          <w:szCs w:val="28"/>
          <w:lang w:val="en-US" w:eastAsia="zh-CN"/>
        </w:rPr>
        <w:t>279.88</w:t>
      </w:r>
      <w:r>
        <w:rPr>
          <w:rStyle w:val="16"/>
          <w:rFonts w:hint="eastAsia" w:ascii="仿宋_GB2312" w:hAnsi="宋体" w:eastAsia="仿宋_GB2312"/>
          <w:b w:val="0"/>
          <w:bCs w:val="0"/>
          <w:spacing w:val="-4"/>
          <w:sz w:val="28"/>
          <w:szCs w:val="28"/>
        </w:rPr>
        <w:t>万元，</w:t>
      </w:r>
      <w:bookmarkStart w:id="33" w:name="_GoBack"/>
      <w:r>
        <w:rPr>
          <w:rStyle w:val="16"/>
          <w:rFonts w:hint="eastAsia" w:ascii="仿宋_GB2312" w:hAnsi="宋体" w:eastAsia="仿宋_GB2312"/>
          <w:b w:val="0"/>
          <w:bCs w:val="0"/>
          <w:spacing w:val="-4"/>
          <w:sz w:val="28"/>
          <w:szCs w:val="28"/>
          <w:highlight w:val="none"/>
        </w:rPr>
        <w:t>比上年增加</w:t>
      </w:r>
      <w:r>
        <w:rPr>
          <w:rStyle w:val="16"/>
          <w:rFonts w:hint="eastAsia" w:ascii="仿宋_GB2312" w:hAnsi="宋体" w:eastAsia="仿宋_GB2312"/>
          <w:b w:val="0"/>
          <w:bCs w:val="0"/>
          <w:spacing w:val="-4"/>
          <w:sz w:val="28"/>
          <w:szCs w:val="28"/>
          <w:highlight w:val="none"/>
          <w:lang w:val="en-US" w:eastAsia="zh-CN"/>
        </w:rPr>
        <w:t>0.54</w:t>
      </w:r>
      <w:r>
        <w:rPr>
          <w:rStyle w:val="16"/>
          <w:rFonts w:hint="eastAsia" w:ascii="仿宋_GB2312" w:hAnsi="宋体" w:eastAsia="仿宋_GB2312"/>
          <w:b w:val="0"/>
          <w:bCs w:val="0"/>
          <w:spacing w:val="-4"/>
          <w:sz w:val="28"/>
          <w:szCs w:val="28"/>
          <w:highlight w:val="none"/>
        </w:rPr>
        <w:t>万元，原因是</w:t>
      </w:r>
      <w:r>
        <w:rPr>
          <w:rStyle w:val="16"/>
          <w:rFonts w:hint="eastAsia" w:ascii="仿宋_GB2312" w:hAnsi="宋体" w:eastAsia="仿宋_GB2312"/>
          <w:b w:val="0"/>
          <w:bCs w:val="0"/>
          <w:spacing w:val="-4"/>
          <w:sz w:val="28"/>
          <w:szCs w:val="28"/>
          <w:highlight w:val="none"/>
          <w:lang w:val="en-US" w:eastAsia="zh-CN"/>
        </w:rPr>
        <w:t>增加通用设备</w:t>
      </w:r>
      <w:r>
        <w:rPr>
          <w:rStyle w:val="16"/>
          <w:rFonts w:hint="eastAsia" w:ascii="仿宋_GB2312" w:hAnsi="宋体" w:eastAsia="仿宋_GB2312"/>
          <w:b w:val="0"/>
          <w:bCs w:val="0"/>
          <w:spacing w:val="-4"/>
          <w:sz w:val="28"/>
          <w:szCs w:val="28"/>
          <w:highlight w:val="none"/>
        </w:rPr>
        <w:t>。</w:t>
      </w:r>
    </w:p>
    <w:bookmarkEnd w:id="33"/>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实际在用固定资产</w:t>
      </w:r>
      <w:r>
        <w:rPr>
          <w:rStyle w:val="16"/>
          <w:rFonts w:hint="eastAsia" w:ascii="仿宋_GB2312" w:hAnsi="楷体" w:eastAsia="仿宋_GB2312"/>
          <w:b w:val="0"/>
          <w:spacing w:val="-4"/>
          <w:sz w:val="28"/>
          <w:szCs w:val="28"/>
          <w:lang w:val="en-US" w:eastAsia="zh-CN"/>
        </w:rPr>
        <w:t>279.88</w:t>
      </w:r>
      <w:r>
        <w:rPr>
          <w:rStyle w:val="16"/>
          <w:rFonts w:hint="eastAsia" w:ascii="仿宋_GB2312" w:hAnsi="楷体" w:eastAsia="仿宋_GB2312"/>
          <w:b w:val="0"/>
          <w:spacing w:val="-4"/>
          <w:sz w:val="28"/>
          <w:szCs w:val="28"/>
        </w:rPr>
        <w:t>万元，固定资产利用率100%。</w:t>
      </w:r>
    </w:p>
    <w:p>
      <w:pPr>
        <w:pStyle w:val="4"/>
        <w:spacing w:line="360" w:lineRule="auto"/>
        <w:rPr>
          <w:rStyle w:val="16"/>
          <w:rFonts w:ascii="仿宋" w:hAnsi="仿宋" w:eastAsia="仿宋"/>
          <w:b/>
          <w:bCs/>
        </w:rPr>
      </w:pPr>
      <w:bookmarkStart w:id="22" w:name="_Toc70450312"/>
      <w:r>
        <w:rPr>
          <w:rStyle w:val="16"/>
          <w:rFonts w:hint="eastAsia" w:ascii="仿宋" w:hAnsi="仿宋" w:eastAsia="仿宋"/>
          <w:b/>
          <w:bCs/>
        </w:rPr>
        <w:t>（二）资产管理情况</w:t>
      </w:r>
      <w:bookmarkEnd w:id="22"/>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3"/>
        <w:spacing w:line="360" w:lineRule="auto"/>
        <w:rPr>
          <w:rFonts w:ascii="仿宋" w:hAnsi="仿宋" w:eastAsia="仿宋"/>
          <w:sz w:val="36"/>
          <w:szCs w:val="36"/>
          <w:lang w:bidi="ar"/>
        </w:rPr>
      </w:pPr>
      <w:bookmarkStart w:id="23" w:name="_Toc70450313"/>
      <w:r>
        <w:rPr>
          <w:rFonts w:hint="eastAsia" w:ascii="仿宋" w:hAnsi="仿宋" w:eastAsia="仿宋"/>
          <w:sz w:val="36"/>
          <w:szCs w:val="36"/>
          <w:lang w:bidi="ar"/>
        </w:rPr>
        <w:t>五、部门单位整体支出绩效情况</w:t>
      </w:r>
      <w:bookmarkEnd w:id="23"/>
    </w:p>
    <w:p>
      <w:pPr>
        <w:pStyle w:val="4"/>
        <w:spacing w:line="360" w:lineRule="auto"/>
        <w:ind w:firstLine="643" w:firstLineChars="200"/>
        <w:rPr>
          <w:rStyle w:val="16"/>
          <w:rFonts w:ascii="仿宋" w:hAnsi="仿宋" w:eastAsia="仿宋"/>
          <w:b/>
          <w:bCs/>
        </w:rPr>
      </w:pPr>
      <w:bookmarkStart w:id="24" w:name="_Toc70450314"/>
      <w:r>
        <w:rPr>
          <w:rStyle w:val="16"/>
          <w:rFonts w:hint="eastAsia" w:ascii="仿宋" w:hAnsi="仿宋" w:eastAsia="仿宋"/>
          <w:b/>
          <w:bCs/>
        </w:rPr>
        <w:t>（一）经济效益评价</w:t>
      </w:r>
      <w:bookmarkEnd w:id="24"/>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2021年度我单位年初预算安排780.17万元，年中调整</w:t>
      </w:r>
      <w:r>
        <w:rPr>
          <w:rStyle w:val="16"/>
          <w:rFonts w:hint="eastAsia" w:ascii="仿宋_GB2312" w:hAnsi="楷体" w:eastAsia="仿宋_GB2312"/>
          <w:b w:val="0"/>
          <w:spacing w:val="-4"/>
          <w:sz w:val="28"/>
          <w:szCs w:val="28"/>
          <w:lang w:val="en-US" w:eastAsia="zh-CN"/>
        </w:rPr>
        <w:t>293.38</w:t>
      </w:r>
      <w:r>
        <w:rPr>
          <w:rStyle w:val="16"/>
          <w:rFonts w:hint="eastAsia" w:ascii="仿宋_GB2312" w:hAnsi="楷体" w:eastAsia="仿宋_GB2312"/>
          <w:b w:val="0"/>
          <w:spacing w:val="-4"/>
          <w:sz w:val="28"/>
          <w:szCs w:val="28"/>
        </w:rPr>
        <w:t>万元，截止12月底支出</w:t>
      </w:r>
      <w:r>
        <w:rPr>
          <w:rStyle w:val="16"/>
          <w:rFonts w:hint="eastAsia" w:ascii="仿宋_GB2312" w:hAnsi="楷体" w:eastAsia="仿宋_GB2312"/>
          <w:b w:val="0"/>
          <w:spacing w:val="-4"/>
          <w:sz w:val="28"/>
          <w:szCs w:val="28"/>
          <w:lang w:val="en-US" w:eastAsia="zh-CN"/>
        </w:rPr>
        <w:t>1073.55</w:t>
      </w:r>
      <w:r>
        <w:rPr>
          <w:rStyle w:val="16"/>
          <w:rFonts w:hint="eastAsia" w:ascii="仿宋_GB2312" w:hAnsi="楷体" w:eastAsia="仿宋_GB2312"/>
          <w:b w:val="0"/>
          <w:spacing w:val="-4"/>
          <w:sz w:val="28"/>
          <w:szCs w:val="28"/>
        </w:rPr>
        <w:t>万元，执行率100%。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1、预算资金执行过程中均按照年初预算分配情况均做到专款专用，未出现资金侵、挪占情况。</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2、全年按照部门预算进行成本控制，全部控制在厉行节约指标数内。其他支出按财政部门下达的计划实施，全年没有项目超支。</w:t>
      </w:r>
    </w:p>
    <w:p>
      <w:pPr>
        <w:pStyle w:val="4"/>
        <w:spacing w:line="360" w:lineRule="auto"/>
        <w:ind w:firstLine="643" w:firstLineChars="200"/>
        <w:rPr>
          <w:rStyle w:val="16"/>
          <w:rFonts w:ascii="仿宋" w:hAnsi="仿宋" w:eastAsia="仿宋"/>
          <w:b/>
          <w:bCs/>
        </w:rPr>
      </w:pPr>
      <w:bookmarkStart w:id="25" w:name="_Toc70450315"/>
      <w:r>
        <w:rPr>
          <w:rStyle w:val="16"/>
          <w:rFonts w:hint="eastAsia" w:ascii="仿宋" w:hAnsi="仿宋" w:eastAsia="仿宋"/>
          <w:b/>
          <w:bCs/>
        </w:rPr>
        <w:t>（二）效率性评价</w:t>
      </w:r>
      <w:bookmarkEnd w:id="25"/>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2021年，在特克斯县人民政府的大力支持和教育局党委的正确领导下，特克斯县第二</w:t>
      </w:r>
      <w:r>
        <w:rPr>
          <w:rStyle w:val="16"/>
          <w:rFonts w:hint="eastAsia" w:ascii="仿宋_GB2312" w:hAnsi="楷体" w:eastAsia="仿宋_GB2312"/>
          <w:b w:val="0"/>
          <w:spacing w:val="-4"/>
          <w:sz w:val="28"/>
          <w:szCs w:val="28"/>
          <w:lang w:val="en-US" w:eastAsia="zh-CN"/>
        </w:rPr>
        <w:t>中学</w:t>
      </w:r>
      <w:r>
        <w:rPr>
          <w:rStyle w:val="16"/>
          <w:rFonts w:hint="eastAsia" w:ascii="仿宋_GB2312" w:hAnsi="楷体" w:eastAsia="仿宋_GB2312"/>
          <w:b w:val="0"/>
          <w:spacing w:val="-4"/>
          <w:sz w:val="28"/>
          <w:szCs w:val="28"/>
        </w:rPr>
        <w:t>迎难而上、务实重干，积极推动各项教育工作取得了新的进展，为促进经济持续健康发展与社会和谐稳定提供了有力的教育支撑和保障。</w:t>
      </w:r>
    </w:p>
    <w:p>
      <w:pPr>
        <w:numPr>
          <w:ilvl w:val="0"/>
          <w:numId w:val="1"/>
        </w:num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圆满完成教学任务工作</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宋体" w:eastAsia="仿宋_GB2312"/>
          <w:b w:val="0"/>
          <w:bCs w:val="0"/>
          <w:spacing w:val="-4"/>
          <w:sz w:val="28"/>
          <w:szCs w:val="28"/>
          <w:highlight w:val="none"/>
        </w:rPr>
        <w:t>根据国家教育方针，严格按照上级主管部门教育教学规定，根据学校自己情况制定教育教学计划，年末圆满完成教育教学任务。</w:t>
      </w:r>
    </w:p>
    <w:p>
      <w:pPr>
        <w:numPr>
          <w:ilvl w:val="0"/>
          <w:numId w:val="1"/>
        </w:num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教育教学任务提前完成</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根据本单位教育教学任务，随时做好调整教育教学准备，加强课程实施监测和日常教学监督管理，进一步规范教学管理，提前完成本学期教学任务。</w:t>
      </w:r>
    </w:p>
    <w:p>
      <w:pPr>
        <w:numPr>
          <w:ilvl w:val="0"/>
          <w:numId w:val="1"/>
        </w:num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教师满意度和家长满意度成效显著</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楷体" w:eastAsia="仿宋_GB2312"/>
          <w:b w:val="0"/>
          <w:spacing w:val="-4"/>
          <w:sz w:val="28"/>
          <w:szCs w:val="28"/>
          <w:highlight w:val="none"/>
        </w:rPr>
        <w:t>教师满意度：</w:t>
      </w:r>
      <w:r>
        <w:rPr>
          <w:rStyle w:val="16"/>
          <w:rFonts w:hint="eastAsia" w:ascii="仿宋_GB2312" w:hAnsi="宋体" w:eastAsia="仿宋_GB2312"/>
          <w:b w:val="0"/>
          <w:bCs w:val="0"/>
          <w:spacing w:val="-4"/>
          <w:sz w:val="28"/>
          <w:szCs w:val="28"/>
          <w:highlight w:val="none"/>
        </w:rPr>
        <w:t>学校在评优树先的方面方案科学合理，体现公平公正的原则，能充分调动每一位教职工的积极性。</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学校建立科学的考核机制，管理到位。</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楷体" w:eastAsia="仿宋_GB2312"/>
          <w:b w:val="0"/>
          <w:spacing w:val="-4"/>
          <w:sz w:val="28"/>
          <w:szCs w:val="28"/>
          <w:highlight w:val="none"/>
        </w:rPr>
        <w:t>家长满意度：</w:t>
      </w:r>
      <w:r>
        <w:rPr>
          <w:rStyle w:val="16"/>
          <w:rFonts w:hint="eastAsia" w:ascii="仿宋_GB2312" w:hAnsi="宋体" w:eastAsia="仿宋_GB2312"/>
          <w:b w:val="0"/>
          <w:bCs w:val="0"/>
          <w:spacing w:val="-4"/>
          <w:sz w:val="28"/>
          <w:szCs w:val="28"/>
          <w:highlight w:val="none"/>
        </w:rPr>
        <w:t>家长认为学校学风教风好，教师师德好。</w:t>
      </w:r>
    </w:p>
    <w:p>
      <w:pPr>
        <w:spacing w:line="360" w:lineRule="auto"/>
        <w:ind w:firstLine="544" w:firstLineChars="200"/>
        <w:rPr>
          <w:rStyle w:val="16"/>
          <w:rFonts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教师能够爱岗敬业，忠于党的教育事业，关心关爱学生。</w:t>
      </w:r>
    </w:p>
    <w:p>
      <w:pPr>
        <w:pStyle w:val="20"/>
        <w:tabs>
          <w:tab w:val="left" w:pos="312"/>
        </w:tabs>
        <w:spacing w:line="360" w:lineRule="auto"/>
        <w:ind w:left="544" w:firstLine="0" w:firstLineChars="0"/>
        <w:rPr>
          <w:rStyle w:val="16"/>
          <w:rFonts w:hint="eastAsia" w:ascii="仿宋_GB2312" w:hAnsi="宋体" w:eastAsia="仿宋_GB2312"/>
          <w:b w:val="0"/>
          <w:bCs w:val="0"/>
          <w:spacing w:val="-4"/>
          <w:sz w:val="28"/>
          <w:szCs w:val="28"/>
          <w:highlight w:val="none"/>
        </w:rPr>
      </w:pPr>
      <w:r>
        <w:rPr>
          <w:rStyle w:val="16"/>
          <w:rFonts w:hint="eastAsia" w:ascii="仿宋_GB2312" w:hAnsi="宋体" w:eastAsia="仿宋_GB2312"/>
          <w:b w:val="0"/>
          <w:bCs w:val="0"/>
          <w:spacing w:val="-4"/>
          <w:sz w:val="28"/>
          <w:szCs w:val="28"/>
          <w:highlight w:val="none"/>
        </w:rPr>
        <w:t>4、教育教学全面达标，群众满意度高。</w:t>
      </w:r>
    </w:p>
    <w:p>
      <w:pPr>
        <w:pStyle w:val="4"/>
        <w:spacing w:line="360" w:lineRule="auto"/>
        <w:ind w:firstLine="643" w:firstLineChars="200"/>
        <w:rPr>
          <w:rStyle w:val="16"/>
          <w:rFonts w:ascii="仿宋" w:hAnsi="仿宋" w:eastAsia="仿宋"/>
          <w:b/>
          <w:bCs/>
          <w:highlight w:val="none"/>
        </w:rPr>
      </w:pPr>
      <w:bookmarkStart w:id="26" w:name="_Toc70450316"/>
      <w:r>
        <w:rPr>
          <w:rStyle w:val="16"/>
          <w:rFonts w:hint="eastAsia" w:ascii="仿宋" w:hAnsi="仿宋" w:eastAsia="仿宋"/>
          <w:b/>
          <w:bCs/>
          <w:highlight w:val="none"/>
        </w:rPr>
        <w:t>（三）有效性评价</w:t>
      </w:r>
      <w:bookmarkEnd w:id="26"/>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特克斯县第二</w:t>
      </w:r>
      <w:r>
        <w:rPr>
          <w:rStyle w:val="16"/>
          <w:rFonts w:hint="eastAsia" w:ascii="仿宋_GB2312" w:hAnsi="楷体" w:eastAsia="仿宋_GB2312"/>
          <w:b w:val="0"/>
          <w:spacing w:val="-4"/>
          <w:sz w:val="28"/>
          <w:szCs w:val="28"/>
          <w:lang w:val="en-US" w:eastAsia="zh-CN"/>
        </w:rPr>
        <w:t>中学</w:t>
      </w:r>
      <w:r>
        <w:rPr>
          <w:rStyle w:val="16"/>
          <w:rFonts w:hint="eastAsia" w:ascii="仿宋_GB2312" w:hAnsi="楷体" w:eastAsia="仿宋_GB2312"/>
          <w:b w:val="0"/>
          <w:spacing w:val="-4"/>
          <w:sz w:val="28"/>
          <w:szCs w:val="28"/>
        </w:rPr>
        <w:t>基本经费中人员经费支出、公用支出严格执行政府的各项制度，保障全局工作正常运转，三公经费的使用严格控制在预算申报的范围内；在项目经费的使用上，在保证各项任务顺利完成的同时，严格落实厉行节约的原则。</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特克斯县第二</w:t>
      </w:r>
      <w:r>
        <w:rPr>
          <w:rStyle w:val="16"/>
          <w:rFonts w:hint="eastAsia" w:ascii="仿宋_GB2312" w:hAnsi="楷体" w:eastAsia="仿宋_GB2312"/>
          <w:b w:val="0"/>
          <w:spacing w:val="-4"/>
          <w:sz w:val="28"/>
          <w:szCs w:val="28"/>
          <w:lang w:val="en-US" w:eastAsia="zh-CN"/>
        </w:rPr>
        <w:t>中学</w:t>
      </w:r>
      <w:r>
        <w:rPr>
          <w:rStyle w:val="16"/>
          <w:rFonts w:hint="eastAsia" w:ascii="仿宋_GB2312" w:hAnsi="楷体" w:eastAsia="仿宋_GB2312"/>
          <w:b w:val="0"/>
          <w:spacing w:val="-4"/>
          <w:sz w:val="28"/>
          <w:szCs w:val="28"/>
        </w:rPr>
        <w:t>整体绩效目标共设置一级指标3个，二级指标  6个，三级指标</w:t>
      </w:r>
      <w:r>
        <w:rPr>
          <w:rStyle w:val="16"/>
          <w:rFonts w:hint="eastAsia" w:ascii="仿宋_GB2312" w:hAnsi="楷体" w:eastAsia="仿宋_GB2312"/>
          <w:b w:val="0"/>
          <w:spacing w:val="-4"/>
          <w:sz w:val="28"/>
          <w:szCs w:val="28"/>
          <w:lang w:val="en-US" w:eastAsia="zh-CN"/>
        </w:rPr>
        <w:t>13</w:t>
      </w:r>
      <w:r>
        <w:rPr>
          <w:rStyle w:val="16"/>
          <w:rFonts w:hint="eastAsia" w:ascii="仿宋_GB2312" w:hAnsi="楷体" w:eastAsia="仿宋_GB2312"/>
          <w:b w:val="0"/>
          <w:spacing w:val="-4"/>
          <w:sz w:val="28"/>
          <w:szCs w:val="28"/>
        </w:rPr>
        <w:t>个，详细说明如下</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1、数量指标：</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rPr>
        <w:t>指标1：保障在职人员人数，指标值：=6</w:t>
      </w:r>
      <w:r>
        <w:rPr>
          <w:rStyle w:val="16"/>
          <w:rFonts w:hint="eastAsia" w:ascii="仿宋_GB2312" w:hAnsi="楷体" w:eastAsia="仿宋_GB2312"/>
          <w:b w:val="0"/>
          <w:spacing w:val="-4"/>
          <w:sz w:val="28"/>
          <w:szCs w:val="28"/>
          <w:lang w:val="en-US" w:eastAsia="zh-CN"/>
        </w:rPr>
        <w:t>0</w:t>
      </w:r>
      <w:r>
        <w:rPr>
          <w:rStyle w:val="16"/>
          <w:rFonts w:hint="eastAsia" w:ascii="仿宋_GB2312" w:hAnsi="楷体" w:eastAsia="仿宋_GB2312"/>
          <w:b w:val="0"/>
          <w:spacing w:val="-4"/>
          <w:sz w:val="28"/>
          <w:szCs w:val="28"/>
        </w:rPr>
        <w:t>人，实际完成值：</w:t>
      </w:r>
      <w:r>
        <w:rPr>
          <w:rStyle w:val="16"/>
          <w:rFonts w:ascii="仿宋_GB2312" w:hAnsi="楷体" w:eastAsia="仿宋_GB2312"/>
          <w:b w:val="0"/>
          <w:spacing w:val="-4"/>
          <w:sz w:val="28"/>
          <w:szCs w:val="28"/>
          <w:highlight w:val="none"/>
        </w:rPr>
        <w:t>6</w:t>
      </w:r>
      <w:r>
        <w:rPr>
          <w:rStyle w:val="16"/>
          <w:rFonts w:hint="eastAsia" w:ascii="仿宋_GB2312" w:hAnsi="楷体" w:eastAsia="仿宋_GB2312"/>
          <w:b w:val="0"/>
          <w:spacing w:val="-4"/>
          <w:sz w:val="28"/>
          <w:szCs w:val="28"/>
          <w:highlight w:val="none"/>
          <w:lang w:val="en-US" w:eastAsia="zh-CN"/>
        </w:rPr>
        <w:t>0</w:t>
      </w:r>
      <w:r>
        <w:rPr>
          <w:rStyle w:val="16"/>
          <w:rFonts w:hint="eastAsia" w:ascii="仿宋_GB2312" w:hAnsi="楷体" w:eastAsia="仿宋_GB2312"/>
          <w:b w:val="0"/>
          <w:spacing w:val="-4"/>
          <w:sz w:val="28"/>
          <w:szCs w:val="28"/>
          <w:highlight w:val="none"/>
        </w:rPr>
        <w:t>人，指标完成率1</w:t>
      </w:r>
      <w:r>
        <w:rPr>
          <w:rStyle w:val="16"/>
          <w:rFonts w:ascii="仿宋_GB2312" w:hAnsi="楷体" w:eastAsia="仿宋_GB2312"/>
          <w:b w:val="0"/>
          <w:spacing w:val="-4"/>
          <w:sz w:val="28"/>
          <w:szCs w:val="28"/>
          <w:highlight w:val="none"/>
        </w:rPr>
        <w:t>00</w:t>
      </w:r>
      <w:r>
        <w:rPr>
          <w:rStyle w:val="16"/>
          <w:rFonts w:hint="eastAsia" w:ascii="仿宋_GB2312" w:hAnsi="楷体" w:eastAsia="仿宋_GB2312"/>
          <w:b w:val="0"/>
          <w:spacing w:val="-4"/>
          <w:sz w:val="28"/>
          <w:szCs w:val="28"/>
          <w:highlight w:val="none"/>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highlight w:val="none"/>
        </w:rPr>
        <w:t>指标2：退休人员数，指标值：=</w:t>
      </w:r>
      <w:r>
        <w:rPr>
          <w:rStyle w:val="16"/>
          <w:rFonts w:hint="eastAsia" w:ascii="仿宋_GB2312" w:hAnsi="楷体" w:eastAsia="仿宋_GB2312"/>
          <w:b w:val="0"/>
          <w:spacing w:val="-4"/>
          <w:sz w:val="28"/>
          <w:szCs w:val="28"/>
          <w:highlight w:val="none"/>
          <w:lang w:val="en-US" w:eastAsia="zh-CN"/>
        </w:rPr>
        <w:t>36</w:t>
      </w:r>
      <w:r>
        <w:rPr>
          <w:rStyle w:val="16"/>
          <w:rFonts w:hint="eastAsia" w:ascii="仿宋_GB2312" w:hAnsi="楷体" w:eastAsia="仿宋_GB2312"/>
          <w:b w:val="0"/>
          <w:spacing w:val="-4"/>
          <w:sz w:val="28"/>
          <w:szCs w:val="28"/>
          <w:highlight w:val="none"/>
        </w:rPr>
        <w:t>人，实际完成值：</w:t>
      </w:r>
      <w:r>
        <w:rPr>
          <w:rStyle w:val="16"/>
          <w:rFonts w:hint="eastAsia" w:ascii="仿宋_GB2312" w:hAnsi="楷体" w:eastAsia="仿宋_GB2312"/>
          <w:b w:val="0"/>
          <w:spacing w:val="-4"/>
          <w:sz w:val="28"/>
          <w:szCs w:val="28"/>
          <w:highlight w:val="none"/>
          <w:lang w:val="en-US" w:eastAsia="zh-CN"/>
        </w:rPr>
        <w:t>38</w:t>
      </w:r>
      <w:r>
        <w:rPr>
          <w:rStyle w:val="16"/>
          <w:rFonts w:hint="eastAsia" w:ascii="仿宋_GB2312" w:hAnsi="楷体" w:eastAsia="仿宋_GB2312"/>
          <w:b w:val="0"/>
          <w:spacing w:val="-4"/>
          <w:sz w:val="28"/>
          <w:szCs w:val="28"/>
          <w:highlight w:val="none"/>
        </w:rPr>
        <w:t xml:space="preserve">人 </w:t>
      </w:r>
      <w:r>
        <w:rPr>
          <w:rStyle w:val="16"/>
          <w:rFonts w:hint="eastAsia" w:ascii="仿宋_GB2312" w:hAnsi="楷体" w:eastAsia="仿宋_GB2312"/>
          <w:b w:val="0"/>
          <w:spacing w:val="-4"/>
          <w:sz w:val="28"/>
          <w:szCs w:val="28"/>
        </w:rPr>
        <w:t>，指标完成率</w:t>
      </w:r>
      <w:r>
        <w:rPr>
          <w:rStyle w:val="16"/>
          <w:rFonts w:hint="eastAsia" w:ascii="仿宋_GB2312" w:hAnsi="楷体" w:eastAsia="仿宋_GB2312"/>
          <w:b w:val="0"/>
          <w:spacing w:val="-4"/>
          <w:sz w:val="28"/>
          <w:szCs w:val="28"/>
          <w:lang w:val="en-US" w:eastAsia="zh-CN"/>
        </w:rPr>
        <w:t>105.56</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指标3：保障采暖补贴人员人数，指标值：=</w:t>
      </w:r>
      <w:r>
        <w:rPr>
          <w:rStyle w:val="16"/>
          <w:rFonts w:hint="eastAsia" w:ascii="仿宋_GB2312" w:hAnsi="楷体" w:eastAsia="仿宋_GB2312"/>
          <w:b w:val="0"/>
          <w:spacing w:val="-4"/>
          <w:sz w:val="28"/>
          <w:szCs w:val="28"/>
          <w:lang w:val="en-US" w:eastAsia="zh-CN"/>
        </w:rPr>
        <w:t>98</w:t>
      </w:r>
      <w:r>
        <w:rPr>
          <w:rStyle w:val="16"/>
          <w:rFonts w:hint="eastAsia" w:ascii="仿宋_GB2312" w:hAnsi="楷体" w:eastAsia="仿宋_GB2312"/>
          <w:b w:val="0"/>
          <w:spacing w:val="-4"/>
          <w:sz w:val="28"/>
          <w:szCs w:val="28"/>
        </w:rPr>
        <w:t>人，实际完成值：</w:t>
      </w:r>
      <w:r>
        <w:rPr>
          <w:rStyle w:val="16"/>
          <w:rFonts w:hint="eastAsia" w:ascii="仿宋_GB2312" w:hAnsi="楷体" w:eastAsia="仿宋_GB2312"/>
          <w:b w:val="0"/>
          <w:spacing w:val="-4"/>
          <w:sz w:val="28"/>
          <w:szCs w:val="28"/>
          <w:lang w:val="en-US" w:eastAsia="zh-CN"/>
        </w:rPr>
        <w:t>98</w:t>
      </w:r>
      <w:r>
        <w:rPr>
          <w:rStyle w:val="16"/>
          <w:rFonts w:hint="eastAsia" w:ascii="仿宋_GB2312" w:hAnsi="楷体" w:eastAsia="仿宋_GB2312"/>
          <w:b w:val="0"/>
          <w:spacing w:val="-4"/>
          <w:sz w:val="28"/>
          <w:szCs w:val="28"/>
        </w:rPr>
        <w:t>人，指标完成率</w:t>
      </w:r>
      <w:r>
        <w:rPr>
          <w:rStyle w:val="16"/>
          <w:rFonts w:ascii="仿宋_GB2312" w:hAnsi="楷体" w:eastAsia="仿宋_GB2312"/>
          <w:b w:val="0"/>
          <w:spacing w:val="-4"/>
          <w:sz w:val="28"/>
          <w:szCs w:val="28"/>
        </w:rPr>
        <w:t>100</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2、质量指标：</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指标1：工资及公用经费保障率，指标值：=100%，实际完成值： 100%，指标完成率100%；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3、时效指标：</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指标1：资金发放及时性，=100%，实际完成值：100%，指标完成率100%；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4、成本指标：</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指标1：保障人员人均支出标准，指标值：</w:t>
      </w:r>
      <w:r>
        <w:rPr>
          <w:rStyle w:val="16"/>
          <w:rFonts w:hint="eastAsia" w:ascii="仿宋_GB2312" w:hAnsi="楷体" w:eastAsia="仿宋_GB2312"/>
          <w:b w:val="0"/>
          <w:spacing w:val="-4"/>
          <w:sz w:val="28"/>
          <w:szCs w:val="28"/>
          <w:lang w:val="en-US" w:eastAsia="zh-CN"/>
        </w:rPr>
        <w:t>≤130028</w:t>
      </w:r>
      <w:r>
        <w:rPr>
          <w:rStyle w:val="16"/>
          <w:rFonts w:hint="eastAsia" w:ascii="仿宋_GB2312" w:hAnsi="楷体" w:eastAsia="仿宋_GB2312"/>
          <w:b w:val="0"/>
          <w:spacing w:val="-4"/>
          <w:sz w:val="28"/>
          <w:szCs w:val="28"/>
        </w:rPr>
        <w:t>元/人/年，实际完成值：</w:t>
      </w:r>
      <w:r>
        <w:rPr>
          <w:rStyle w:val="16"/>
          <w:rFonts w:hint="eastAsia" w:ascii="仿宋_GB2312" w:hAnsi="楷体" w:eastAsia="仿宋_GB2312"/>
          <w:b w:val="0"/>
          <w:spacing w:val="-4"/>
          <w:sz w:val="28"/>
          <w:szCs w:val="28"/>
          <w:lang w:val="en-US" w:eastAsia="zh-CN"/>
        </w:rPr>
        <w:t>130028</w:t>
      </w:r>
      <w:r>
        <w:rPr>
          <w:rStyle w:val="16"/>
          <w:rFonts w:hint="eastAsia" w:ascii="仿宋_GB2312" w:hAnsi="楷体" w:eastAsia="仿宋_GB2312"/>
          <w:b w:val="0"/>
          <w:spacing w:val="-4"/>
          <w:sz w:val="28"/>
          <w:szCs w:val="28"/>
        </w:rPr>
        <w:t>元/人/年，指标完成率</w:t>
      </w:r>
      <w:r>
        <w:rPr>
          <w:rStyle w:val="16"/>
          <w:rFonts w:ascii="仿宋_GB2312" w:hAnsi="楷体" w:eastAsia="仿宋_GB2312"/>
          <w:b w:val="0"/>
          <w:spacing w:val="-4"/>
          <w:sz w:val="28"/>
          <w:szCs w:val="28"/>
        </w:rPr>
        <w:t>100</w:t>
      </w:r>
      <w:r>
        <w:rPr>
          <w:rStyle w:val="16"/>
          <w:rFonts w:hint="eastAsia" w:ascii="仿宋_GB2312" w:hAnsi="楷体" w:eastAsia="仿宋_GB2312"/>
          <w:b w:val="0"/>
          <w:spacing w:val="-4"/>
          <w:sz w:val="28"/>
          <w:szCs w:val="28"/>
        </w:rPr>
        <w:t>%；</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指标2：退休人员计生奖励，指标值：≤</w:t>
      </w:r>
      <w:r>
        <w:rPr>
          <w:rStyle w:val="16"/>
          <w:rFonts w:hint="eastAsia" w:ascii="仿宋_GB2312" w:hAnsi="楷体" w:eastAsia="仿宋_GB2312"/>
          <w:b w:val="0"/>
          <w:spacing w:val="-4"/>
          <w:sz w:val="28"/>
          <w:szCs w:val="28"/>
          <w:lang w:val="en-US" w:eastAsia="zh-CN"/>
        </w:rPr>
        <w:t>1500</w:t>
      </w:r>
      <w:r>
        <w:rPr>
          <w:rStyle w:val="16"/>
          <w:rFonts w:hint="eastAsia" w:ascii="仿宋_GB2312" w:hAnsi="楷体" w:eastAsia="仿宋_GB2312"/>
          <w:b w:val="0"/>
          <w:spacing w:val="-4"/>
          <w:sz w:val="28"/>
          <w:szCs w:val="28"/>
        </w:rPr>
        <w:t xml:space="preserve">元/人/年，实际完成值： </w:t>
      </w:r>
      <w:r>
        <w:rPr>
          <w:rStyle w:val="16"/>
          <w:rFonts w:hint="eastAsia" w:ascii="仿宋_GB2312" w:hAnsi="楷体" w:eastAsia="仿宋_GB2312"/>
          <w:b w:val="0"/>
          <w:spacing w:val="-4"/>
          <w:sz w:val="28"/>
          <w:szCs w:val="28"/>
          <w:lang w:val="en-US" w:eastAsia="zh-CN"/>
        </w:rPr>
        <w:t>1500</w:t>
      </w:r>
      <w:r>
        <w:rPr>
          <w:rStyle w:val="16"/>
          <w:rFonts w:hint="eastAsia" w:ascii="仿宋_GB2312" w:hAnsi="楷体" w:eastAsia="仿宋_GB2312"/>
          <w:b w:val="0"/>
          <w:spacing w:val="-4"/>
          <w:sz w:val="28"/>
          <w:szCs w:val="28"/>
        </w:rPr>
        <w:t>元/人/年，指标完成率100%；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指标3：采暖补贴，指标值：≤1300元/人/年，实际完成值： 1300元/人/年，指标完成率100%；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指标4：遗属补助，指标值：≤4440元/人/年，实际完成值：4440元/人/年，指标完成率1</w:t>
      </w:r>
      <w:r>
        <w:rPr>
          <w:rStyle w:val="16"/>
          <w:rFonts w:ascii="仿宋_GB2312" w:hAnsi="楷体" w:eastAsia="仿宋_GB2312"/>
          <w:b w:val="0"/>
          <w:spacing w:val="-4"/>
          <w:sz w:val="28"/>
          <w:szCs w:val="28"/>
        </w:rPr>
        <w:t>0</w:t>
      </w:r>
      <w:r>
        <w:rPr>
          <w:rStyle w:val="16"/>
          <w:rFonts w:hint="eastAsia" w:ascii="仿宋_GB2312" w:hAnsi="楷体" w:eastAsia="仿宋_GB2312"/>
          <w:b w:val="0"/>
          <w:spacing w:val="-4"/>
          <w:sz w:val="28"/>
          <w:szCs w:val="28"/>
        </w:rPr>
        <w:t>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5、社会效益指标：</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指标1：保证教学任务及时完成，指标值：有效保证 ，实际完成值：有效保证，指标完成率100%；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指标2：保证教师队伍稳定，指标值：有效保证，实际完成值：有效保证，指标完成率100%；</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6、满意度指标：</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指标1：教师满意度，指标值：≥</w:t>
      </w:r>
      <w:r>
        <w:rPr>
          <w:rStyle w:val="16"/>
          <w:rFonts w:hint="eastAsia" w:ascii="仿宋_GB2312" w:hAnsi="楷体" w:eastAsia="仿宋_GB2312"/>
          <w:b w:val="0"/>
          <w:spacing w:val="-4"/>
          <w:sz w:val="28"/>
          <w:szCs w:val="28"/>
          <w:lang w:val="en-US" w:eastAsia="zh-CN"/>
        </w:rPr>
        <w:t>95</w:t>
      </w:r>
      <w:r>
        <w:rPr>
          <w:rStyle w:val="16"/>
          <w:rFonts w:hint="eastAsia" w:ascii="仿宋_GB2312" w:hAnsi="楷体" w:eastAsia="仿宋_GB2312"/>
          <w:b w:val="0"/>
          <w:spacing w:val="-4"/>
          <w:sz w:val="28"/>
          <w:szCs w:val="28"/>
        </w:rPr>
        <w:t>%，实际完成值：95%，指标完成率100%；</w:t>
      </w:r>
    </w:p>
    <w:p>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rPr>
        <w:t>指标2：退休教师满意度，指标值：≥95%，实际完成值：95%，指标完成率100%</w:t>
      </w:r>
      <w:r>
        <w:rPr>
          <w:rStyle w:val="16"/>
          <w:rFonts w:hint="eastAsia" w:ascii="仿宋_GB2312" w:hAnsi="楷体" w:eastAsia="仿宋_GB2312"/>
          <w:b w:val="0"/>
          <w:spacing w:val="-4"/>
          <w:sz w:val="28"/>
          <w:szCs w:val="28"/>
          <w:lang w:eastAsia="zh-CN"/>
        </w:rPr>
        <w:t>。</w:t>
      </w:r>
    </w:p>
    <w:p>
      <w:pPr>
        <w:pStyle w:val="3"/>
        <w:spacing w:line="360" w:lineRule="auto"/>
        <w:rPr>
          <w:rFonts w:ascii="仿宋" w:hAnsi="仿宋" w:eastAsia="仿宋"/>
          <w:sz w:val="36"/>
          <w:szCs w:val="36"/>
          <w:lang w:bidi="ar"/>
        </w:rPr>
      </w:pPr>
      <w:bookmarkStart w:id="27" w:name="_Toc70450317"/>
      <w:r>
        <w:rPr>
          <w:rFonts w:hint="eastAsia" w:ascii="仿宋" w:hAnsi="仿宋" w:eastAsia="仿宋"/>
          <w:sz w:val="36"/>
          <w:szCs w:val="36"/>
          <w:lang w:bidi="ar"/>
        </w:rPr>
        <w:t>六、存在的主要问题</w:t>
      </w:r>
      <w:bookmarkEnd w:id="27"/>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1、预算绩效管理观念淡薄，缺乏主动性。</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2、预算绩效管理的组织架构不够完善，缺乏统筹性。</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3、绩效型预算编制脱离实际，缺乏前瞻性。</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4、绩效型预算评价方法比较单一、简单，大都还是采用目标分析法、成本效益分析法等，主观因素判断占比较大，尚未主动尝试采用层次分析法等先进方法。</w:t>
      </w:r>
    </w:p>
    <w:p>
      <w:pPr>
        <w:spacing w:line="360" w:lineRule="auto"/>
        <w:ind w:firstLine="544" w:firstLineChars="200"/>
        <w:rPr>
          <w:rFonts w:ascii="仿宋_GB2312" w:eastAsia="仿宋_GB2312" w:hAnsiTheme="majorEastAsia"/>
          <w:sz w:val="32"/>
          <w:szCs w:val="32"/>
        </w:rPr>
      </w:pPr>
      <w:r>
        <w:rPr>
          <w:rStyle w:val="16"/>
          <w:rFonts w:hint="eastAsia" w:ascii="仿宋_GB2312" w:hAnsi="楷体" w:eastAsia="仿宋_GB2312"/>
          <w:b w:val="0"/>
          <w:spacing w:val="-4"/>
          <w:sz w:val="28"/>
          <w:szCs w:val="28"/>
        </w:rPr>
        <w:t>5、固定资产管理水平有待提高，固定资产台账未及时与账面资产金额对账且末与实物进行清点及及时清理处置报废资产导致资产台账与账面资产金额存在差异,固定资产管理继续加强中。</w:t>
      </w:r>
    </w:p>
    <w:p>
      <w:pPr>
        <w:pStyle w:val="3"/>
        <w:spacing w:line="360" w:lineRule="auto"/>
        <w:rPr>
          <w:rFonts w:ascii="仿宋" w:hAnsi="仿宋" w:eastAsia="仿宋"/>
          <w:sz w:val="36"/>
          <w:szCs w:val="36"/>
          <w:lang w:bidi="ar"/>
        </w:rPr>
      </w:pPr>
      <w:bookmarkStart w:id="28" w:name="_Toc70450318"/>
      <w:r>
        <w:rPr>
          <w:rFonts w:hint="eastAsia" w:ascii="仿宋" w:hAnsi="仿宋" w:eastAsia="仿宋"/>
          <w:sz w:val="36"/>
          <w:szCs w:val="36"/>
          <w:lang w:bidi="ar"/>
        </w:rPr>
        <w:t>七、改进措施和建议</w:t>
      </w:r>
      <w:bookmarkEnd w:id="28"/>
    </w:p>
    <w:p>
      <w:pPr>
        <w:pStyle w:val="4"/>
        <w:spacing w:line="360" w:lineRule="auto"/>
        <w:rPr>
          <w:rFonts w:ascii="仿宋" w:hAnsi="仿宋" w:eastAsia="仿宋"/>
        </w:rPr>
      </w:pPr>
      <w:bookmarkStart w:id="29" w:name="_Toc70450319"/>
      <w:r>
        <w:rPr>
          <w:rStyle w:val="16"/>
          <w:rFonts w:hint="eastAsia" w:ascii="仿宋" w:hAnsi="仿宋" w:eastAsia="仿宋"/>
          <w:b/>
          <w:bCs/>
        </w:rPr>
        <w:t>（一）改进措施</w:t>
      </w:r>
      <w:bookmarkEnd w:id="29"/>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1、加大宣传力度，强化预算绩效意识。</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2、建立内部控制与预算绩效为核心的工作理念，紧密结合各部门的职能，明确各项分工。</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3、建立以解决问题为导向、指向未来的预算绩效管理模式。</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4、完善管理制度,进-步加强资产管理。严格按照《固定资产管理办法》的规定，加强固定资产管理,及时登记、更新台账，加强资产卡片管理,对各类实物资产进行全面盘点,确保账账、账实相符。</w:t>
      </w:r>
    </w:p>
    <w:p>
      <w:pPr>
        <w:pStyle w:val="4"/>
        <w:spacing w:line="360" w:lineRule="auto"/>
        <w:rPr>
          <w:rStyle w:val="16"/>
          <w:rFonts w:ascii="仿宋" w:hAnsi="仿宋" w:eastAsia="仿宋"/>
          <w:b/>
          <w:bCs/>
        </w:rPr>
      </w:pPr>
      <w:bookmarkStart w:id="30" w:name="_Toc70450320"/>
      <w:r>
        <w:rPr>
          <w:rStyle w:val="16"/>
          <w:rFonts w:hint="eastAsia" w:ascii="仿宋" w:hAnsi="仿宋" w:eastAsia="仿宋"/>
          <w:b/>
          <w:bCs/>
        </w:rPr>
        <w:t>（二）建议</w:t>
      </w:r>
      <w:bookmarkEnd w:id="30"/>
    </w:p>
    <w:p>
      <w:pPr>
        <w:spacing w:line="360" w:lineRule="auto"/>
        <w:ind w:firstLine="544" w:firstLineChars="200"/>
        <w:rPr>
          <w:rStyle w:val="16"/>
          <w:rFonts w:ascii="仿宋_GB2312" w:hAnsi="楷体" w:eastAsia="仿宋_GB2312"/>
          <w:b w:val="0"/>
          <w:spacing w:val="-4"/>
          <w:sz w:val="28"/>
          <w:szCs w:val="28"/>
        </w:rPr>
      </w:pPr>
      <w:bookmarkStart w:id="31" w:name="_Toc70450321"/>
      <w:r>
        <w:rPr>
          <w:rStyle w:val="16"/>
          <w:rFonts w:hint="eastAsia" w:ascii="仿宋_GB2312" w:hAnsi="楷体" w:eastAsia="仿宋_GB2312"/>
          <w:b w:val="0"/>
          <w:spacing w:val="-4"/>
          <w:sz w:val="28"/>
          <w:szCs w:val="28"/>
        </w:rPr>
        <w:t>（1）加强学习。进一步明确如何参照考核体系，科学合理设定绩效目标，充分发挥预算绩效管理工作效用。</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（2）财务上，会计核算要更加详细，为本单位各项工作的开展、总结、评估提供有效数据资料支撑,为各项业务工作更好的开展提供帮助。</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（3）从源头上强化对专项资金预算管理。实行专项资金预算管理，结合单位实际,按轻重缓急统筹安排编制预算,提高预算编制科学性和合理性,优化资金结构。</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（4）按时间进度分解资金使用计划。专项资金的使用，要事前做计划，事中进行控制，事后总结提高。合理安排资金使用,充分体现资金投向的目标和效益。</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5）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pStyle w:val="3"/>
        <w:spacing w:line="360" w:lineRule="auto"/>
        <w:rPr>
          <w:rStyle w:val="16"/>
          <w:rFonts w:ascii="仿宋" w:hAnsi="仿宋" w:eastAsia="仿宋"/>
          <w:b/>
          <w:bCs/>
          <w:sz w:val="36"/>
          <w:szCs w:val="36"/>
        </w:rPr>
      </w:pPr>
      <w:r>
        <w:rPr>
          <w:rStyle w:val="16"/>
          <w:rFonts w:hint="eastAsia" w:ascii="仿宋" w:hAnsi="仿宋" w:eastAsia="仿宋"/>
          <w:b/>
          <w:bCs/>
          <w:sz w:val="36"/>
          <w:szCs w:val="36"/>
        </w:rPr>
        <w:t>八、附表</w:t>
      </w:r>
      <w:r>
        <w:rPr>
          <w:rStyle w:val="16"/>
          <w:rFonts w:hint="eastAsia" w:ascii="仿宋" w:hAnsi="仿宋" w:eastAsia="仿宋"/>
          <w:b w:val="0"/>
          <w:bCs w:val="0"/>
          <w:spacing w:val="-4"/>
          <w:sz w:val="36"/>
          <w:szCs w:val="36"/>
        </w:rPr>
        <w:t>：</w:t>
      </w:r>
      <w:bookmarkStart w:id="32" w:name="_Hlk70450148"/>
      <w:r>
        <w:rPr>
          <w:rStyle w:val="16"/>
          <w:rFonts w:hint="eastAsia" w:ascii="仿宋" w:hAnsi="仿宋" w:eastAsia="仿宋"/>
          <w:b/>
          <w:bCs/>
          <w:sz w:val="36"/>
          <w:szCs w:val="36"/>
        </w:rPr>
        <w:t>《部门整体支出绩效目标自评表》</w:t>
      </w:r>
      <w:bookmarkEnd w:id="31"/>
      <w:bookmarkEnd w:id="32"/>
    </w:p>
    <w:p/>
    <w:tbl>
      <w:tblPr>
        <w:tblStyle w:val="14"/>
        <w:tblW w:w="9104" w:type="dxa"/>
        <w:tblInd w:w="93" w:type="dxa"/>
        <w:tblLayout w:type="autofit"/>
        <w:tblCellMar>
          <w:top w:w="0" w:type="dxa"/>
          <w:left w:w="108" w:type="dxa"/>
          <w:bottom w:w="0" w:type="dxa"/>
          <w:right w:w="108" w:type="dxa"/>
        </w:tblCellMar>
      </w:tblPr>
      <w:tblGrid>
        <w:gridCol w:w="460"/>
        <w:gridCol w:w="1160"/>
        <w:gridCol w:w="2500"/>
        <w:gridCol w:w="816"/>
        <w:gridCol w:w="816"/>
        <w:gridCol w:w="760"/>
        <w:gridCol w:w="916"/>
        <w:gridCol w:w="484"/>
        <w:gridCol w:w="432"/>
        <w:gridCol w:w="760"/>
      </w:tblGrid>
      <w:tr>
        <w:tblPrEx>
          <w:tblCellMar>
            <w:top w:w="0" w:type="dxa"/>
            <w:left w:w="108" w:type="dxa"/>
            <w:bottom w:w="0" w:type="dxa"/>
            <w:right w:w="108" w:type="dxa"/>
          </w:tblCellMar>
        </w:tblPrEx>
        <w:trPr>
          <w:trHeight w:val="615" w:hRule="atLeast"/>
        </w:trPr>
        <w:tc>
          <w:tcPr>
            <w:tcW w:w="9104" w:type="dxa"/>
            <w:gridSpan w:val="10"/>
            <w:tcBorders>
              <w:top w:val="nil"/>
              <w:left w:val="nil"/>
              <w:bottom w:val="nil"/>
              <w:right w:val="nil"/>
            </w:tcBorders>
            <w:shd w:val="clear" w:color="auto" w:fill="auto"/>
            <w:noWrap/>
            <w:vAlign w:val="center"/>
          </w:tcPr>
          <w:p>
            <w:pPr>
              <w:widowControl/>
              <w:jc w:val="center"/>
              <w:rPr>
                <w:rFonts w:ascii="宋体" w:hAnsi="宋体" w:eastAsia="宋体" w:cs="宋体"/>
                <w:b/>
                <w:bCs/>
                <w:kern w:val="0"/>
                <w:sz w:val="32"/>
                <w:szCs w:val="32"/>
              </w:rPr>
            </w:pPr>
            <w:r>
              <w:rPr>
                <w:rFonts w:hint="eastAsia" w:ascii="宋体" w:hAnsi="宋体" w:eastAsia="宋体" w:cs="宋体"/>
                <w:b/>
                <w:bCs/>
                <w:kern w:val="0"/>
                <w:sz w:val="32"/>
                <w:szCs w:val="32"/>
              </w:rPr>
              <w:t>部门整体支出绩效目标自评表</w:t>
            </w:r>
          </w:p>
        </w:tc>
      </w:tr>
      <w:tr>
        <w:trPr>
          <w:trHeight w:val="414" w:hRule="atLeast"/>
        </w:trPr>
        <w:tc>
          <w:tcPr>
            <w:tcW w:w="9104" w:type="dxa"/>
            <w:gridSpan w:val="10"/>
            <w:tcBorders>
              <w:top w:val="nil"/>
              <w:left w:val="nil"/>
              <w:bottom w:val="nil"/>
              <w:right w:val="nil"/>
            </w:tcBorders>
            <w:shd w:val="clear" w:color="auto" w:fill="auto"/>
            <w:noWrap/>
            <w:vAlign w:val="center"/>
          </w:tcPr>
          <w:p>
            <w:pPr>
              <w:widowControl/>
              <w:jc w:val="center"/>
              <w:rPr>
                <w:rFonts w:ascii="宋体" w:hAnsi="宋体" w:eastAsia="宋体" w:cs="宋体"/>
                <w:b/>
                <w:bCs/>
                <w:kern w:val="0"/>
                <w:sz w:val="32"/>
                <w:szCs w:val="32"/>
              </w:rPr>
            </w:pPr>
            <w:r>
              <w:rPr>
                <w:rFonts w:hint="eastAsia" w:ascii="宋体" w:hAnsi="宋体" w:eastAsia="宋体" w:cs="宋体"/>
                <w:b/>
                <w:bCs/>
                <w:kern w:val="0"/>
                <w:sz w:val="20"/>
                <w:szCs w:val="20"/>
              </w:rPr>
              <w:t>(2021年)</w:t>
            </w:r>
          </w:p>
        </w:tc>
      </w:tr>
      <w:tr>
        <w:tblPrEx>
          <w:tblCellMar>
            <w:top w:w="0" w:type="dxa"/>
            <w:left w:w="108" w:type="dxa"/>
            <w:bottom w:w="0" w:type="dxa"/>
            <w:right w:w="108" w:type="dxa"/>
          </w:tblCellMar>
        </w:tblPrEx>
        <w:trPr>
          <w:trHeight w:val="304" w:hRule="atLeast"/>
        </w:trPr>
        <w:tc>
          <w:tcPr>
            <w:tcW w:w="162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b/>
                <w:bCs/>
                <w:kern w:val="0"/>
                <w:sz w:val="16"/>
                <w:szCs w:val="16"/>
              </w:rPr>
            </w:pPr>
            <w:r>
              <w:rPr>
                <w:rFonts w:hint="eastAsia" w:ascii="宋体" w:hAnsi="宋体" w:eastAsia="宋体" w:cs="宋体"/>
                <w:b/>
                <w:bCs/>
                <w:kern w:val="0"/>
                <w:sz w:val="16"/>
                <w:szCs w:val="16"/>
              </w:rPr>
              <w:t>部门（单位）名称</w:t>
            </w:r>
          </w:p>
        </w:tc>
        <w:tc>
          <w:tcPr>
            <w:tcW w:w="7484" w:type="dxa"/>
            <w:gridSpan w:val="8"/>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6"/>
                <w:szCs w:val="16"/>
                <w:lang w:eastAsia="zh-CN"/>
              </w:rPr>
            </w:pPr>
            <w:r>
              <w:rPr>
                <w:rFonts w:hint="eastAsia" w:ascii="宋体" w:hAnsi="宋体" w:eastAsia="宋体" w:cs="宋体"/>
                <w:kern w:val="0"/>
                <w:sz w:val="16"/>
                <w:szCs w:val="16"/>
              </w:rPr>
              <w:t>特克斯县第二</w:t>
            </w:r>
            <w:r>
              <w:rPr>
                <w:rFonts w:hint="eastAsia" w:ascii="宋体" w:hAnsi="宋体" w:eastAsia="宋体" w:cs="宋体"/>
                <w:kern w:val="0"/>
                <w:sz w:val="16"/>
                <w:szCs w:val="16"/>
                <w:lang w:val="en-US" w:eastAsia="zh-CN"/>
              </w:rPr>
              <w:t>中学</w:t>
            </w:r>
          </w:p>
        </w:tc>
      </w:tr>
      <w:tr>
        <w:tblPrEx>
          <w:tblCellMar>
            <w:top w:w="0" w:type="dxa"/>
            <w:left w:w="108" w:type="dxa"/>
            <w:bottom w:w="0" w:type="dxa"/>
            <w:right w:w="108" w:type="dxa"/>
          </w:tblCellMar>
        </w:tblPrEx>
        <w:trPr>
          <w:trHeight w:val="698" w:hRule="atLeast"/>
        </w:trPr>
        <w:tc>
          <w:tcPr>
            <w:tcW w:w="4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年度主要任务</w:t>
            </w:r>
          </w:p>
        </w:tc>
        <w:tc>
          <w:tcPr>
            <w:tcW w:w="11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任务名称</w:t>
            </w:r>
          </w:p>
        </w:tc>
        <w:tc>
          <w:tcPr>
            <w:tcW w:w="25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主要内容</w:t>
            </w: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预算金额（万元）</w:t>
            </w:r>
          </w:p>
        </w:tc>
        <w:tc>
          <w:tcPr>
            <w:tcW w:w="2592"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实际执行（万元）</w:t>
            </w:r>
          </w:p>
        </w:tc>
      </w:tr>
      <w:tr>
        <w:tblPrEx>
          <w:tblCellMar>
            <w:top w:w="0" w:type="dxa"/>
            <w:left w:w="108" w:type="dxa"/>
            <w:bottom w:w="0" w:type="dxa"/>
            <w:right w:w="108" w:type="dxa"/>
          </w:tblCellMar>
        </w:tblPrEx>
        <w:trPr>
          <w:trHeight w:val="698" w:hRule="atLeast"/>
        </w:trPr>
        <w:tc>
          <w:tcPr>
            <w:tcW w:w="4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kern w:val="0"/>
                <w:sz w:val="24"/>
              </w:rPr>
            </w:pPr>
          </w:p>
        </w:tc>
        <w:tc>
          <w:tcPr>
            <w:tcW w:w="25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kern w:val="0"/>
                <w:sz w:val="24"/>
              </w:rPr>
            </w:pP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总额</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财政拨款</w:t>
            </w: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其他资金</w:t>
            </w:r>
          </w:p>
        </w:tc>
        <w:tc>
          <w:tcPr>
            <w:tcW w:w="9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总额</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财政拨款</w:t>
            </w: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其他资金</w:t>
            </w:r>
          </w:p>
        </w:tc>
      </w:tr>
      <w:tr>
        <w:tblPrEx>
          <w:tblCellMar>
            <w:top w:w="0" w:type="dxa"/>
            <w:left w:w="108" w:type="dxa"/>
            <w:bottom w:w="0" w:type="dxa"/>
            <w:right w:w="108" w:type="dxa"/>
          </w:tblCellMar>
        </w:tblPrEx>
        <w:trPr>
          <w:trHeight w:val="660" w:hRule="atLeast"/>
        </w:trPr>
        <w:tc>
          <w:tcPr>
            <w:tcW w:w="4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kern w:val="0"/>
                <w:sz w:val="24"/>
              </w:rPr>
            </w:pPr>
          </w:p>
        </w:tc>
        <w:tc>
          <w:tcPr>
            <w:tcW w:w="11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人员保障</w:t>
            </w:r>
          </w:p>
        </w:tc>
        <w:tc>
          <w:tcPr>
            <w:tcW w:w="25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16"/>
                <w:szCs w:val="16"/>
              </w:rPr>
            </w:pPr>
            <w:r>
              <w:rPr>
                <w:rFonts w:hint="eastAsia" w:ascii="宋体" w:hAnsi="宋体" w:eastAsia="宋体" w:cs="宋体"/>
                <w:kern w:val="0"/>
                <w:sz w:val="16"/>
                <w:szCs w:val="16"/>
              </w:rPr>
              <w:t>用于保障部门单位人员发放工资福利支出及对个人和家庭补助</w:t>
            </w:r>
          </w:p>
        </w:tc>
        <w:tc>
          <w:tcPr>
            <w:tcW w:w="81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780.17</w:t>
            </w:r>
          </w:p>
        </w:tc>
        <w:tc>
          <w:tcPr>
            <w:tcW w:w="81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780.17</w:t>
            </w: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0</w:t>
            </w:r>
          </w:p>
        </w:tc>
        <w:tc>
          <w:tcPr>
            <w:tcW w:w="9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780.17</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780.17</w:t>
            </w: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0"/>
                <w:szCs w:val="20"/>
              </w:rPr>
            </w:pPr>
            <w:r>
              <w:rPr>
                <w:rFonts w:hint="eastAsia" w:ascii="宋体" w:hAnsi="宋体" w:eastAsia="宋体" w:cs="宋体"/>
                <w:b/>
                <w:bCs/>
                <w:kern w:val="0"/>
                <w:sz w:val="20"/>
                <w:szCs w:val="20"/>
              </w:rPr>
              <w:t>0</w:t>
            </w:r>
          </w:p>
        </w:tc>
      </w:tr>
      <w:tr>
        <w:tblPrEx>
          <w:tblCellMar>
            <w:top w:w="0" w:type="dxa"/>
            <w:left w:w="108" w:type="dxa"/>
            <w:bottom w:w="0" w:type="dxa"/>
            <w:right w:w="108" w:type="dxa"/>
          </w:tblCellMar>
        </w:tblPrEx>
        <w:trPr>
          <w:trHeight w:val="435" w:hRule="atLeast"/>
        </w:trPr>
        <w:tc>
          <w:tcPr>
            <w:tcW w:w="4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b/>
                <w:bCs/>
                <w:kern w:val="0"/>
                <w:sz w:val="24"/>
              </w:rPr>
            </w:pPr>
          </w:p>
        </w:tc>
        <w:tc>
          <w:tcPr>
            <w:tcW w:w="36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金额合计</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780.17</w:t>
            </w:r>
          </w:p>
        </w:tc>
        <w:tc>
          <w:tcPr>
            <w:tcW w:w="8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780.17</w:t>
            </w: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0</w:t>
            </w:r>
          </w:p>
        </w:tc>
        <w:tc>
          <w:tcPr>
            <w:tcW w:w="91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780.17</w:t>
            </w:r>
          </w:p>
        </w:tc>
        <w:tc>
          <w:tcPr>
            <w:tcW w:w="9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lang w:val="en-US" w:eastAsia="zh-CN"/>
              </w:rPr>
              <w:t>780.17</w:t>
            </w:r>
          </w:p>
        </w:tc>
        <w:tc>
          <w:tcPr>
            <w:tcW w:w="7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b/>
                <w:bCs/>
                <w:kern w:val="0"/>
                <w:sz w:val="20"/>
                <w:szCs w:val="20"/>
              </w:rPr>
              <w:t>0</w:t>
            </w:r>
          </w:p>
        </w:tc>
      </w:tr>
      <w:tr>
        <w:tblPrEx>
          <w:tblCellMar>
            <w:top w:w="0" w:type="dxa"/>
            <w:left w:w="108" w:type="dxa"/>
            <w:bottom w:w="0" w:type="dxa"/>
            <w:right w:w="108" w:type="dxa"/>
          </w:tblCellMar>
        </w:tblPrEx>
        <w:trPr>
          <w:trHeight w:val="495" w:hRule="atLeast"/>
        </w:trPr>
        <w:tc>
          <w:tcPr>
            <w:tcW w:w="460" w:type="dxa"/>
            <w:vMerge w:val="restart"/>
            <w:tcBorders>
              <w:top w:val="nil"/>
              <w:left w:val="nil"/>
              <w:bottom w:val="single" w:color="000000"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年度总体目标</w:t>
            </w:r>
          </w:p>
        </w:tc>
        <w:tc>
          <w:tcPr>
            <w:tcW w:w="4476"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预期目标</w:t>
            </w:r>
          </w:p>
        </w:tc>
        <w:tc>
          <w:tcPr>
            <w:tcW w:w="4168"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实际完成目标</w:t>
            </w:r>
          </w:p>
        </w:tc>
      </w:tr>
      <w:tr>
        <w:tblPrEx>
          <w:tblCellMar>
            <w:top w:w="0" w:type="dxa"/>
            <w:left w:w="108" w:type="dxa"/>
            <w:bottom w:w="0" w:type="dxa"/>
            <w:right w:w="108" w:type="dxa"/>
          </w:tblCellMar>
        </w:tblPrEx>
        <w:trPr>
          <w:trHeight w:val="1590" w:hRule="atLeast"/>
        </w:trPr>
        <w:tc>
          <w:tcPr>
            <w:tcW w:w="460" w:type="dxa"/>
            <w:vMerge w:val="continue"/>
            <w:tcBorders>
              <w:top w:val="nil"/>
              <w:left w:val="nil"/>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447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目标1：确保人员经费的合理分配。目标2：完成在职教师工资发放、按时完成社保、公积金缴纳。目标3：及时完成退休教师取暖费、计生奖励金的发放。目标4：完成每年教学任务。目5：全面推进各类教师能力提升培训，加强教师队伍建设。目标6：好教育教学管理工作。</w:t>
            </w:r>
          </w:p>
        </w:tc>
        <w:tc>
          <w:tcPr>
            <w:tcW w:w="4168"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完成人员经费的合理分配。完成在职教师工资发放、按时完成社保、公积金缴纳。及时完成退休教师取暖费、计生奖励金的发放。完成每年教学任务，完成全面推进各类教师能力提升培训，加强教师队伍建设。完成2021年各项教育教学管理工作。</w:t>
            </w:r>
          </w:p>
        </w:tc>
      </w:tr>
      <w:tr>
        <w:tblPrEx>
          <w:tblCellMar>
            <w:top w:w="0" w:type="dxa"/>
            <w:left w:w="108" w:type="dxa"/>
            <w:bottom w:w="0" w:type="dxa"/>
            <w:right w:w="108" w:type="dxa"/>
          </w:tblCellMar>
        </w:tblPrEx>
        <w:trPr>
          <w:trHeight w:val="900" w:hRule="atLeast"/>
        </w:trPr>
        <w:tc>
          <w:tcPr>
            <w:tcW w:w="4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b/>
                <w:bCs/>
                <w:kern w:val="0"/>
                <w:sz w:val="24"/>
              </w:rPr>
            </w:pPr>
            <w:r>
              <w:rPr>
                <w:rFonts w:hint="eastAsia" w:ascii="宋体" w:hAnsi="宋体" w:eastAsia="宋体" w:cs="宋体"/>
                <w:b/>
                <w:bCs/>
                <w:kern w:val="0"/>
                <w:sz w:val="24"/>
              </w:rPr>
              <w:t>年度绩效指标</w:t>
            </w:r>
          </w:p>
        </w:tc>
        <w:tc>
          <w:tcPr>
            <w:tcW w:w="11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16"/>
                <w:szCs w:val="16"/>
              </w:rPr>
            </w:pPr>
            <w:r>
              <w:rPr>
                <w:rFonts w:hint="eastAsia" w:ascii="宋体" w:hAnsi="宋体" w:eastAsia="宋体" w:cs="宋体"/>
                <w:b/>
                <w:bCs/>
                <w:kern w:val="0"/>
                <w:sz w:val="16"/>
                <w:szCs w:val="16"/>
              </w:rPr>
              <w:t>一级指标</w:t>
            </w:r>
          </w:p>
        </w:tc>
        <w:tc>
          <w:tcPr>
            <w:tcW w:w="25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kern w:val="0"/>
                <w:sz w:val="16"/>
                <w:szCs w:val="16"/>
              </w:rPr>
            </w:pPr>
            <w:r>
              <w:rPr>
                <w:rFonts w:hint="eastAsia" w:ascii="宋体" w:hAnsi="宋体" w:eastAsia="宋体" w:cs="宋体"/>
                <w:b/>
                <w:bCs/>
                <w:kern w:val="0"/>
                <w:sz w:val="16"/>
                <w:szCs w:val="16"/>
              </w:rPr>
              <w:t>二级指标</w:t>
            </w: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b/>
                <w:bCs/>
                <w:kern w:val="0"/>
                <w:sz w:val="16"/>
                <w:szCs w:val="16"/>
              </w:rPr>
            </w:pPr>
            <w:r>
              <w:rPr>
                <w:rFonts w:hint="eastAsia" w:ascii="宋体" w:hAnsi="宋体" w:eastAsia="宋体" w:cs="宋体"/>
                <w:b/>
                <w:bCs/>
                <w:kern w:val="0"/>
                <w:sz w:val="16"/>
                <w:szCs w:val="16"/>
              </w:rPr>
              <w:t>三级指标</w:t>
            </w:r>
          </w:p>
        </w:tc>
        <w:tc>
          <w:tcPr>
            <w:tcW w:w="14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b/>
                <w:bCs/>
                <w:color w:val="000000"/>
                <w:kern w:val="0"/>
                <w:sz w:val="16"/>
                <w:szCs w:val="16"/>
              </w:rPr>
            </w:pPr>
            <w:r>
              <w:rPr>
                <w:rFonts w:hint="eastAsia" w:ascii="宋体" w:hAnsi="宋体" w:eastAsia="宋体" w:cs="宋体"/>
                <w:b/>
                <w:bCs/>
                <w:color w:val="000000"/>
                <w:kern w:val="0"/>
                <w:sz w:val="16"/>
                <w:szCs w:val="16"/>
              </w:rPr>
              <w:t>预期指标值（包含数字及文字描述）</w:t>
            </w:r>
          </w:p>
        </w:tc>
        <w:tc>
          <w:tcPr>
            <w:tcW w:w="119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b/>
                <w:bCs/>
                <w:color w:val="000000"/>
                <w:kern w:val="0"/>
                <w:sz w:val="16"/>
                <w:szCs w:val="16"/>
              </w:rPr>
            </w:pPr>
            <w:r>
              <w:rPr>
                <w:rFonts w:hint="eastAsia" w:ascii="宋体" w:hAnsi="宋体" w:eastAsia="宋体" w:cs="宋体"/>
                <w:b/>
                <w:bCs/>
                <w:color w:val="000000"/>
                <w:kern w:val="0"/>
                <w:sz w:val="16"/>
                <w:szCs w:val="16"/>
              </w:rPr>
              <w:t>实际完成指标值（包含数字及文字描述）</w:t>
            </w:r>
          </w:p>
        </w:tc>
      </w:tr>
      <w:tr>
        <w:tblPrEx>
          <w:tblCellMar>
            <w:top w:w="0" w:type="dxa"/>
            <w:left w:w="108" w:type="dxa"/>
            <w:bottom w:w="0" w:type="dxa"/>
            <w:right w:w="108" w:type="dxa"/>
          </w:tblCellMar>
        </w:tblPrEx>
        <w:trPr>
          <w:trHeight w:val="27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b/>
                <w:bCs/>
                <w:kern w:val="0"/>
                <w:sz w:val="24"/>
                <w:lang w:eastAsia="zh-CN"/>
              </w:rPr>
            </w:pPr>
            <w:r>
              <w:rPr>
                <w:rFonts w:hint="eastAsia" w:ascii="宋体" w:hAnsi="宋体" w:eastAsia="宋体" w:cs="宋体"/>
                <w:b/>
                <w:bCs/>
                <w:kern w:val="0"/>
                <w:sz w:val="24"/>
                <w:lang w:eastAsia="zh-CN"/>
              </w:rPr>
              <w:t>6</w:t>
            </w:r>
          </w:p>
        </w:tc>
        <w:tc>
          <w:tcPr>
            <w:tcW w:w="1160"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250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保障在职人员人数</w:t>
            </w:r>
          </w:p>
        </w:tc>
        <w:tc>
          <w:tcPr>
            <w:tcW w:w="14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w:t>
            </w:r>
            <w:r>
              <w:rPr>
                <w:rFonts w:hint="eastAsia" w:ascii="宋体" w:hAnsi="宋体" w:eastAsia="宋体" w:cs="宋体"/>
                <w:kern w:val="0"/>
                <w:sz w:val="18"/>
                <w:szCs w:val="18"/>
                <w:lang w:val="en-US" w:eastAsia="zh-CN"/>
              </w:rPr>
              <w:t>0</w:t>
            </w:r>
            <w:r>
              <w:rPr>
                <w:rFonts w:hint="eastAsia" w:ascii="宋体" w:hAnsi="宋体" w:eastAsia="宋体" w:cs="宋体"/>
                <w:kern w:val="0"/>
                <w:sz w:val="18"/>
                <w:szCs w:val="18"/>
              </w:rPr>
              <w:t>人</w:t>
            </w:r>
          </w:p>
        </w:tc>
        <w:tc>
          <w:tcPr>
            <w:tcW w:w="119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6</w:t>
            </w:r>
            <w:r>
              <w:rPr>
                <w:rFonts w:hint="eastAsia" w:ascii="宋体" w:hAnsi="宋体" w:eastAsia="宋体" w:cs="宋体"/>
                <w:kern w:val="0"/>
                <w:sz w:val="18"/>
                <w:szCs w:val="18"/>
                <w:lang w:val="en-US" w:eastAsia="zh-CN"/>
              </w:rPr>
              <w:t>0</w:t>
            </w:r>
            <w:r>
              <w:rPr>
                <w:rFonts w:hint="eastAsia" w:ascii="宋体" w:hAnsi="宋体" w:eastAsia="宋体" w:cs="宋体"/>
                <w:kern w:val="0"/>
                <w:sz w:val="18"/>
                <w:szCs w:val="18"/>
              </w:rPr>
              <w:t>人</w:t>
            </w:r>
          </w:p>
        </w:tc>
      </w:tr>
      <w:tr>
        <w:tblPrEx>
          <w:tblCellMar>
            <w:top w:w="0" w:type="dxa"/>
            <w:left w:w="108" w:type="dxa"/>
            <w:bottom w:w="0" w:type="dxa"/>
            <w:right w:w="108" w:type="dxa"/>
          </w:tblCellMar>
        </w:tblPrEx>
        <w:trPr>
          <w:trHeight w:val="27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5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退休人员数</w:t>
            </w:r>
          </w:p>
        </w:tc>
        <w:tc>
          <w:tcPr>
            <w:tcW w:w="14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r>
              <w:rPr>
                <w:rFonts w:hint="eastAsia" w:ascii="宋体" w:hAnsi="宋体" w:eastAsia="宋体" w:cs="宋体"/>
                <w:kern w:val="0"/>
                <w:sz w:val="18"/>
                <w:szCs w:val="18"/>
                <w:lang w:val="en-US" w:eastAsia="zh-CN"/>
              </w:rPr>
              <w:t>38</w:t>
            </w:r>
            <w:r>
              <w:rPr>
                <w:rFonts w:hint="eastAsia" w:ascii="宋体" w:hAnsi="宋体" w:eastAsia="宋体" w:cs="宋体"/>
                <w:kern w:val="0"/>
                <w:sz w:val="18"/>
                <w:szCs w:val="18"/>
              </w:rPr>
              <w:t>人</w:t>
            </w:r>
          </w:p>
        </w:tc>
        <w:tc>
          <w:tcPr>
            <w:tcW w:w="119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38</w:t>
            </w:r>
            <w:r>
              <w:rPr>
                <w:rFonts w:hint="eastAsia" w:ascii="宋体" w:hAnsi="宋体" w:eastAsia="宋体" w:cs="宋体"/>
                <w:kern w:val="0"/>
                <w:sz w:val="18"/>
                <w:szCs w:val="18"/>
              </w:rPr>
              <w:t>人</w:t>
            </w:r>
          </w:p>
        </w:tc>
      </w:tr>
      <w:tr>
        <w:tblPrEx>
          <w:tblCellMar>
            <w:top w:w="0" w:type="dxa"/>
            <w:left w:w="108" w:type="dxa"/>
            <w:bottom w:w="0" w:type="dxa"/>
            <w:right w:w="108" w:type="dxa"/>
          </w:tblCellMar>
        </w:tblPrEx>
        <w:trPr>
          <w:trHeight w:val="27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5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保障补贴人员人数</w:t>
            </w:r>
          </w:p>
        </w:tc>
        <w:tc>
          <w:tcPr>
            <w:tcW w:w="14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w:t>
            </w:r>
            <w:r>
              <w:rPr>
                <w:rFonts w:hint="eastAsia" w:ascii="宋体" w:hAnsi="宋体" w:eastAsia="宋体" w:cs="宋体"/>
                <w:kern w:val="0"/>
                <w:sz w:val="18"/>
                <w:szCs w:val="18"/>
                <w:lang w:val="en-US" w:eastAsia="zh-CN"/>
              </w:rPr>
              <w:t>98</w:t>
            </w:r>
            <w:r>
              <w:rPr>
                <w:rFonts w:hint="eastAsia" w:ascii="宋体" w:hAnsi="宋体" w:eastAsia="宋体" w:cs="宋体"/>
                <w:kern w:val="0"/>
                <w:sz w:val="18"/>
                <w:szCs w:val="18"/>
              </w:rPr>
              <w:t>人</w:t>
            </w:r>
          </w:p>
        </w:tc>
        <w:tc>
          <w:tcPr>
            <w:tcW w:w="119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98</w:t>
            </w:r>
            <w:r>
              <w:rPr>
                <w:rFonts w:hint="eastAsia" w:ascii="宋体" w:hAnsi="宋体" w:eastAsia="宋体" w:cs="宋体"/>
                <w:kern w:val="0"/>
                <w:sz w:val="18"/>
                <w:szCs w:val="18"/>
              </w:rPr>
              <w:t>人</w:t>
            </w:r>
          </w:p>
        </w:tc>
      </w:tr>
      <w:tr>
        <w:tblPrEx>
          <w:tblCellMar>
            <w:top w:w="0" w:type="dxa"/>
            <w:left w:w="108" w:type="dxa"/>
            <w:bottom w:w="0" w:type="dxa"/>
            <w:right w:w="108" w:type="dxa"/>
          </w:tblCellMar>
        </w:tblPrEx>
        <w:trPr>
          <w:trHeight w:val="375"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500" w:type="dxa"/>
            <w:tcBorders>
              <w:top w:val="nil"/>
              <w:left w:val="nil"/>
              <w:bottom w:val="nil"/>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工资及公用经费保障率</w:t>
            </w:r>
          </w:p>
        </w:tc>
        <w:tc>
          <w:tcPr>
            <w:tcW w:w="14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119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100%</w:t>
            </w:r>
          </w:p>
        </w:tc>
      </w:tr>
      <w:tr>
        <w:tblPrEx>
          <w:tblCellMar>
            <w:top w:w="0" w:type="dxa"/>
            <w:left w:w="108" w:type="dxa"/>
            <w:bottom w:w="0" w:type="dxa"/>
            <w:right w:w="108" w:type="dxa"/>
          </w:tblCellMar>
        </w:tblPrEx>
        <w:trPr>
          <w:trHeight w:val="375"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500" w:type="dxa"/>
            <w:tcBorders>
              <w:top w:val="single" w:color="auto" w:sz="4" w:space="0"/>
              <w:left w:val="nil"/>
              <w:bottom w:val="nil"/>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资金发放及时性</w:t>
            </w:r>
          </w:p>
        </w:tc>
        <w:tc>
          <w:tcPr>
            <w:tcW w:w="14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=100%</w:t>
            </w:r>
          </w:p>
        </w:tc>
        <w:tc>
          <w:tcPr>
            <w:tcW w:w="119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100%</w:t>
            </w:r>
          </w:p>
        </w:tc>
      </w:tr>
      <w:tr>
        <w:tblPrEx>
          <w:tblCellMar>
            <w:top w:w="0" w:type="dxa"/>
            <w:left w:w="108" w:type="dxa"/>
            <w:bottom w:w="0" w:type="dxa"/>
            <w:right w:w="108" w:type="dxa"/>
          </w:tblCellMar>
        </w:tblPrEx>
        <w:trPr>
          <w:trHeight w:val="45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500" w:type="dxa"/>
            <w:vMerge w:val="restart"/>
            <w:tcBorders>
              <w:top w:val="single" w:color="auto" w:sz="4" w:space="0"/>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保障人员人均支出标准</w:t>
            </w:r>
          </w:p>
        </w:tc>
        <w:tc>
          <w:tcPr>
            <w:tcW w:w="14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w:t>
            </w:r>
            <w:r>
              <w:rPr>
                <w:rFonts w:hint="eastAsia" w:ascii="宋体" w:hAnsi="宋体" w:eastAsia="宋体" w:cs="宋体"/>
                <w:kern w:val="0"/>
                <w:sz w:val="16"/>
                <w:szCs w:val="16"/>
                <w:lang w:val="en-US" w:eastAsia="zh-CN"/>
              </w:rPr>
              <w:t>130028</w:t>
            </w:r>
            <w:r>
              <w:rPr>
                <w:rFonts w:hint="eastAsia" w:ascii="宋体" w:hAnsi="宋体" w:eastAsia="宋体" w:cs="宋体"/>
                <w:kern w:val="0"/>
                <w:sz w:val="16"/>
                <w:szCs w:val="16"/>
              </w:rPr>
              <w:t>元/人/年</w:t>
            </w:r>
          </w:p>
        </w:tc>
        <w:tc>
          <w:tcPr>
            <w:tcW w:w="119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lang w:val="en-US" w:eastAsia="zh-CN"/>
              </w:rPr>
              <w:t>130028</w:t>
            </w:r>
            <w:r>
              <w:rPr>
                <w:rFonts w:hint="eastAsia" w:ascii="宋体" w:hAnsi="宋体" w:eastAsia="宋体" w:cs="宋体"/>
                <w:kern w:val="0"/>
                <w:sz w:val="16"/>
                <w:szCs w:val="16"/>
              </w:rPr>
              <w:t>元/人/年</w:t>
            </w:r>
          </w:p>
        </w:tc>
      </w:tr>
      <w:tr>
        <w:tblPrEx>
          <w:tblCellMar>
            <w:top w:w="0" w:type="dxa"/>
            <w:left w:w="108" w:type="dxa"/>
            <w:bottom w:w="0" w:type="dxa"/>
            <w:right w:w="108" w:type="dxa"/>
          </w:tblCellMar>
        </w:tblPrEx>
        <w:trPr>
          <w:trHeight w:val="45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50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退休人员计生奖励</w:t>
            </w:r>
          </w:p>
        </w:tc>
        <w:tc>
          <w:tcPr>
            <w:tcW w:w="14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w:t>
            </w:r>
            <w:r>
              <w:rPr>
                <w:rFonts w:hint="eastAsia" w:ascii="宋体" w:hAnsi="宋体" w:eastAsia="宋体" w:cs="宋体"/>
                <w:kern w:val="0"/>
                <w:sz w:val="16"/>
                <w:szCs w:val="16"/>
                <w:lang w:val="en-US" w:eastAsia="zh-CN"/>
              </w:rPr>
              <w:t>1500</w:t>
            </w:r>
            <w:r>
              <w:rPr>
                <w:rFonts w:hint="eastAsia" w:ascii="宋体" w:hAnsi="宋体" w:eastAsia="宋体" w:cs="宋体"/>
                <w:kern w:val="0"/>
                <w:sz w:val="16"/>
                <w:szCs w:val="16"/>
              </w:rPr>
              <w:t>元/人/年</w:t>
            </w:r>
          </w:p>
        </w:tc>
        <w:tc>
          <w:tcPr>
            <w:tcW w:w="119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lang w:val="en-US" w:eastAsia="zh-CN"/>
              </w:rPr>
              <w:t>1500</w:t>
            </w:r>
            <w:r>
              <w:rPr>
                <w:rFonts w:hint="eastAsia" w:ascii="宋体" w:hAnsi="宋体" w:eastAsia="宋体" w:cs="宋体"/>
                <w:kern w:val="0"/>
                <w:sz w:val="16"/>
                <w:szCs w:val="16"/>
              </w:rPr>
              <w:t>元/人/年</w:t>
            </w:r>
          </w:p>
        </w:tc>
      </w:tr>
      <w:tr>
        <w:tblPrEx>
          <w:tblCellMar>
            <w:top w:w="0" w:type="dxa"/>
            <w:left w:w="108" w:type="dxa"/>
            <w:bottom w:w="0" w:type="dxa"/>
            <w:right w:w="108" w:type="dxa"/>
          </w:tblCellMar>
        </w:tblPrEx>
        <w:trPr>
          <w:trHeight w:val="339"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50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采暖补贴</w:t>
            </w:r>
          </w:p>
        </w:tc>
        <w:tc>
          <w:tcPr>
            <w:tcW w:w="14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≤1300元/人/年</w:t>
            </w:r>
          </w:p>
        </w:tc>
        <w:tc>
          <w:tcPr>
            <w:tcW w:w="119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1300元/人/年</w:t>
            </w:r>
          </w:p>
        </w:tc>
      </w:tr>
      <w:tr>
        <w:tblPrEx>
          <w:tblCellMar>
            <w:top w:w="0" w:type="dxa"/>
            <w:left w:w="108" w:type="dxa"/>
            <w:bottom w:w="0" w:type="dxa"/>
            <w:right w:w="108" w:type="dxa"/>
          </w:tblCellMar>
        </w:tblPrEx>
        <w:trPr>
          <w:trHeight w:val="345"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50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遗属补助</w:t>
            </w:r>
          </w:p>
        </w:tc>
        <w:tc>
          <w:tcPr>
            <w:tcW w:w="14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≤4440元/人/年</w:t>
            </w:r>
          </w:p>
        </w:tc>
        <w:tc>
          <w:tcPr>
            <w:tcW w:w="119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6"/>
                <w:szCs w:val="16"/>
              </w:rPr>
            </w:pPr>
            <w:r>
              <w:rPr>
                <w:rFonts w:hint="eastAsia" w:ascii="宋体" w:hAnsi="宋体" w:eastAsia="宋体" w:cs="宋体"/>
                <w:kern w:val="0"/>
                <w:sz w:val="16"/>
                <w:szCs w:val="16"/>
              </w:rPr>
              <w:t>4440元/人/年</w:t>
            </w:r>
          </w:p>
        </w:tc>
      </w:tr>
      <w:tr>
        <w:tblPrEx>
          <w:tblCellMar>
            <w:top w:w="0" w:type="dxa"/>
            <w:left w:w="108" w:type="dxa"/>
            <w:bottom w:w="0" w:type="dxa"/>
            <w:right w:w="108" w:type="dxa"/>
          </w:tblCellMar>
        </w:tblPrEx>
        <w:trPr>
          <w:trHeight w:val="27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restart"/>
            <w:tcBorders>
              <w:top w:val="nil"/>
              <w:left w:val="single" w:color="auto" w:sz="4" w:space="0"/>
              <w:bottom w:val="nil"/>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250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社会效益指标</w:t>
            </w: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保证教学任务及时完成</w:t>
            </w:r>
          </w:p>
        </w:tc>
        <w:tc>
          <w:tcPr>
            <w:tcW w:w="14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有效保证</w:t>
            </w:r>
          </w:p>
        </w:tc>
        <w:tc>
          <w:tcPr>
            <w:tcW w:w="119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有效保证</w:t>
            </w:r>
          </w:p>
        </w:tc>
      </w:tr>
      <w:tr>
        <w:tblPrEx>
          <w:tblCellMar>
            <w:top w:w="0" w:type="dxa"/>
            <w:left w:w="108" w:type="dxa"/>
            <w:bottom w:w="0" w:type="dxa"/>
            <w:right w:w="108" w:type="dxa"/>
          </w:tblCellMar>
        </w:tblPrEx>
        <w:trPr>
          <w:trHeight w:val="27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kern w:val="0"/>
                <w:sz w:val="18"/>
                <w:szCs w:val="18"/>
              </w:rPr>
            </w:pPr>
          </w:p>
        </w:tc>
        <w:tc>
          <w:tcPr>
            <w:tcW w:w="25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保证教师队伍稳定</w:t>
            </w:r>
          </w:p>
        </w:tc>
        <w:tc>
          <w:tcPr>
            <w:tcW w:w="14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有效保证</w:t>
            </w:r>
          </w:p>
        </w:tc>
        <w:tc>
          <w:tcPr>
            <w:tcW w:w="119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有效保证</w:t>
            </w:r>
          </w:p>
        </w:tc>
      </w:tr>
      <w:tr>
        <w:tblPrEx>
          <w:tblCellMar>
            <w:top w:w="0" w:type="dxa"/>
            <w:left w:w="108" w:type="dxa"/>
            <w:bottom w:w="0" w:type="dxa"/>
            <w:right w:w="108" w:type="dxa"/>
          </w:tblCellMar>
        </w:tblPrEx>
        <w:trPr>
          <w:trHeight w:val="27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restart"/>
            <w:tcBorders>
              <w:top w:val="single" w:color="auto" w:sz="4" w:space="0"/>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满意度指标</w:t>
            </w:r>
          </w:p>
        </w:tc>
        <w:tc>
          <w:tcPr>
            <w:tcW w:w="2500" w:type="dxa"/>
            <w:vMerge w:val="restart"/>
            <w:tcBorders>
              <w:top w:val="nil"/>
              <w:left w:val="single" w:color="auto" w:sz="4" w:space="0"/>
              <w:bottom w:val="single" w:color="000000" w:sz="4" w:space="0"/>
              <w:right w:val="single" w:color="auto" w:sz="4" w:space="0"/>
            </w:tcBorders>
            <w:shd w:val="clear" w:color="auto" w:fill="auto"/>
            <w:noWrap/>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满意度指标</w:t>
            </w: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教师满意度</w:t>
            </w:r>
          </w:p>
        </w:tc>
        <w:tc>
          <w:tcPr>
            <w:tcW w:w="14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≥95%</w:t>
            </w:r>
          </w:p>
        </w:tc>
        <w:tc>
          <w:tcPr>
            <w:tcW w:w="119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95%</w:t>
            </w:r>
          </w:p>
        </w:tc>
      </w:tr>
      <w:tr>
        <w:tblPrEx>
          <w:tblCellMar>
            <w:top w:w="0" w:type="dxa"/>
            <w:left w:w="108" w:type="dxa"/>
            <w:bottom w:w="0" w:type="dxa"/>
            <w:right w:w="108" w:type="dxa"/>
          </w:tblCellMar>
        </w:tblPrEx>
        <w:trPr>
          <w:trHeight w:val="270" w:hRule="atLeast"/>
        </w:trPr>
        <w:tc>
          <w:tcPr>
            <w:tcW w:w="4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b/>
                <w:bCs/>
                <w:kern w:val="0"/>
                <w:sz w:val="24"/>
              </w:rPr>
            </w:pPr>
          </w:p>
        </w:tc>
        <w:tc>
          <w:tcPr>
            <w:tcW w:w="116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50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18"/>
                <w:szCs w:val="18"/>
              </w:rPr>
            </w:pPr>
          </w:p>
        </w:tc>
        <w:tc>
          <w:tcPr>
            <w:tcW w:w="2392"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退休教师满意度</w:t>
            </w:r>
          </w:p>
        </w:tc>
        <w:tc>
          <w:tcPr>
            <w:tcW w:w="14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≥95%</w:t>
            </w:r>
          </w:p>
        </w:tc>
        <w:tc>
          <w:tcPr>
            <w:tcW w:w="119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95%</w:t>
            </w:r>
          </w:p>
        </w:tc>
      </w:tr>
    </w:tbl>
    <w:p/>
    <w:p/>
    <w:p>
      <w:pPr>
        <w:rPr>
          <w:rFonts w:ascii="仿宋" w:hAnsi="仿宋" w:eastAsia="仿宋" w:cs="宋体"/>
          <w:color w:val="333333"/>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7 -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699945"/>
    <w:multiLevelType w:val="singleLevel"/>
    <w:tmpl w:val="9C69994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4ZjMzZTkxMDUzOWUwYzQ4OTViM2UwODBmYmY3N2QifQ=="/>
  </w:docVars>
  <w:rsids>
    <w:rsidRoot w:val="00633862"/>
    <w:rsid w:val="00025A44"/>
    <w:rsid w:val="000376C8"/>
    <w:rsid w:val="00072084"/>
    <w:rsid w:val="0009422A"/>
    <w:rsid w:val="000B6B13"/>
    <w:rsid w:val="000D1DEE"/>
    <w:rsid w:val="000D3AFA"/>
    <w:rsid w:val="000E3313"/>
    <w:rsid w:val="00105D60"/>
    <w:rsid w:val="001121F2"/>
    <w:rsid w:val="00112859"/>
    <w:rsid w:val="001173EB"/>
    <w:rsid w:val="00150C4C"/>
    <w:rsid w:val="00191BA3"/>
    <w:rsid w:val="001A2299"/>
    <w:rsid w:val="001A3A0E"/>
    <w:rsid w:val="001F630E"/>
    <w:rsid w:val="0022744B"/>
    <w:rsid w:val="00234372"/>
    <w:rsid w:val="00234B37"/>
    <w:rsid w:val="00246941"/>
    <w:rsid w:val="002553DC"/>
    <w:rsid w:val="002764C7"/>
    <w:rsid w:val="00283AA2"/>
    <w:rsid w:val="002A102C"/>
    <w:rsid w:val="002D075E"/>
    <w:rsid w:val="00303A08"/>
    <w:rsid w:val="003226C4"/>
    <w:rsid w:val="0033316F"/>
    <w:rsid w:val="0039631D"/>
    <w:rsid w:val="003B3C33"/>
    <w:rsid w:val="003E3DEF"/>
    <w:rsid w:val="003E7C70"/>
    <w:rsid w:val="004220B9"/>
    <w:rsid w:val="00463E61"/>
    <w:rsid w:val="0049337C"/>
    <w:rsid w:val="004C4C4D"/>
    <w:rsid w:val="004C6FF3"/>
    <w:rsid w:val="004E69F5"/>
    <w:rsid w:val="004E7AAC"/>
    <w:rsid w:val="00531A31"/>
    <w:rsid w:val="00533C6C"/>
    <w:rsid w:val="005359D3"/>
    <w:rsid w:val="00546768"/>
    <w:rsid w:val="00554458"/>
    <w:rsid w:val="00593943"/>
    <w:rsid w:val="005A08A8"/>
    <w:rsid w:val="005B1250"/>
    <w:rsid w:val="005C33CE"/>
    <w:rsid w:val="006225D7"/>
    <w:rsid w:val="00633862"/>
    <w:rsid w:val="006379B7"/>
    <w:rsid w:val="006413B6"/>
    <w:rsid w:val="006774B2"/>
    <w:rsid w:val="006910A7"/>
    <w:rsid w:val="00691310"/>
    <w:rsid w:val="006A7181"/>
    <w:rsid w:val="006C5BED"/>
    <w:rsid w:val="006D3947"/>
    <w:rsid w:val="00702D4A"/>
    <w:rsid w:val="00704751"/>
    <w:rsid w:val="007115C8"/>
    <w:rsid w:val="00713ADC"/>
    <w:rsid w:val="00725B9A"/>
    <w:rsid w:val="00754721"/>
    <w:rsid w:val="007713F8"/>
    <w:rsid w:val="007A7491"/>
    <w:rsid w:val="007A7874"/>
    <w:rsid w:val="007E23B1"/>
    <w:rsid w:val="00800784"/>
    <w:rsid w:val="00817432"/>
    <w:rsid w:val="008614D8"/>
    <w:rsid w:val="0086230F"/>
    <w:rsid w:val="00875327"/>
    <w:rsid w:val="00886879"/>
    <w:rsid w:val="008875A1"/>
    <w:rsid w:val="00890FC2"/>
    <w:rsid w:val="008E3F8A"/>
    <w:rsid w:val="00923468"/>
    <w:rsid w:val="00952782"/>
    <w:rsid w:val="0095580D"/>
    <w:rsid w:val="0097614B"/>
    <w:rsid w:val="00990F1C"/>
    <w:rsid w:val="00992D45"/>
    <w:rsid w:val="009A10CC"/>
    <w:rsid w:val="009A1625"/>
    <w:rsid w:val="009C0DEF"/>
    <w:rsid w:val="009E5FF8"/>
    <w:rsid w:val="009F06F4"/>
    <w:rsid w:val="00A05135"/>
    <w:rsid w:val="00A07414"/>
    <w:rsid w:val="00A2396A"/>
    <w:rsid w:val="00A43D21"/>
    <w:rsid w:val="00A55238"/>
    <w:rsid w:val="00AA19F1"/>
    <w:rsid w:val="00AA5126"/>
    <w:rsid w:val="00AC4471"/>
    <w:rsid w:val="00AD16CD"/>
    <w:rsid w:val="00AF42EB"/>
    <w:rsid w:val="00B130FE"/>
    <w:rsid w:val="00B17FA8"/>
    <w:rsid w:val="00B34A48"/>
    <w:rsid w:val="00B34F85"/>
    <w:rsid w:val="00B407C3"/>
    <w:rsid w:val="00B666A1"/>
    <w:rsid w:val="00B8256C"/>
    <w:rsid w:val="00B91294"/>
    <w:rsid w:val="00BA1454"/>
    <w:rsid w:val="00BF1F34"/>
    <w:rsid w:val="00C16942"/>
    <w:rsid w:val="00C3552F"/>
    <w:rsid w:val="00C42609"/>
    <w:rsid w:val="00C4673D"/>
    <w:rsid w:val="00C76454"/>
    <w:rsid w:val="00C81F75"/>
    <w:rsid w:val="00CB1C9D"/>
    <w:rsid w:val="00CB6A92"/>
    <w:rsid w:val="00CC7606"/>
    <w:rsid w:val="00CD2F35"/>
    <w:rsid w:val="00CE16E7"/>
    <w:rsid w:val="00CE61DB"/>
    <w:rsid w:val="00D26F3D"/>
    <w:rsid w:val="00D278CF"/>
    <w:rsid w:val="00D43082"/>
    <w:rsid w:val="00D77626"/>
    <w:rsid w:val="00D81EE2"/>
    <w:rsid w:val="00DA4CE0"/>
    <w:rsid w:val="00DA67B8"/>
    <w:rsid w:val="00DB1085"/>
    <w:rsid w:val="00DD223C"/>
    <w:rsid w:val="00E213C7"/>
    <w:rsid w:val="00E41A31"/>
    <w:rsid w:val="00E536C5"/>
    <w:rsid w:val="00E6582B"/>
    <w:rsid w:val="00E7188B"/>
    <w:rsid w:val="00EA25B8"/>
    <w:rsid w:val="00EA5F4F"/>
    <w:rsid w:val="00F006BD"/>
    <w:rsid w:val="00F014EE"/>
    <w:rsid w:val="00F17550"/>
    <w:rsid w:val="00F27120"/>
    <w:rsid w:val="00F341E0"/>
    <w:rsid w:val="00F36401"/>
    <w:rsid w:val="00F41E0B"/>
    <w:rsid w:val="00F42445"/>
    <w:rsid w:val="00F44FCC"/>
    <w:rsid w:val="00F50F36"/>
    <w:rsid w:val="00F74974"/>
    <w:rsid w:val="00F82795"/>
    <w:rsid w:val="00F829DE"/>
    <w:rsid w:val="00F84215"/>
    <w:rsid w:val="00F91CBB"/>
    <w:rsid w:val="00FC2EB7"/>
    <w:rsid w:val="04016340"/>
    <w:rsid w:val="09507CDE"/>
    <w:rsid w:val="09DA1C2B"/>
    <w:rsid w:val="0E9A5E97"/>
    <w:rsid w:val="106E5105"/>
    <w:rsid w:val="15F72E61"/>
    <w:rsid w:val="183C19DD"/>
    <w:rsid w:val="1C3739D3"/>
    <w:rsid w:val="1EB60E4D"/>
    <w:rsid w:val="1ED350EA"/>
    <w:rsid w:val="1F3059F5"/>
    <w:rsid w:val="24FD2B3F"/>
    <w:rsid w:val="27845646"/>
    <w:rsid w:val="30484015"/>
    <w:rsid w:val="33BC0017"/>
    <w:rsid w:val="39941577"/>
    <w:rsid w:val="3CBF2E2D"/>
    <w:rsid w:val="3DC049AF"/>
    <w:rsid w:val="3ED15516"/>
    <w:rsid w:val="41F370B7"/>
    <w:rsid w:val="44FD0016"/>
    <w:rsid w:val="525A30E7"/>
    <w:rsid w:val="55664BF9"/>
    <w:rsid w:val="56EB110A"/>
    <w:rsid w:val="598619DF"/>
    <w:rsid w:val="6D3F4560"/>
    <w:rsid w:val="7AE94436"/>
    <w:rsid w:val="7B6D08F5"/>
    <w:rsid w:val="7FC51D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Normal (Web)"/>
    <w:basedOn w:val="1"/>
    <w:qFormat/>
    <w:uiPriority w:val="99"/>
    <w:pPr>
      <w:spacing w:before="100" w:beforeAutospacing="1" w:after="100" w:afterAutospacing="1"/>
      <w:jc w:val="left"/>
    </w:pPr>
    <w:rPr>
      <w:rFonts w:cs="Times New Roman"/>
      <w:sz w:val="24"/>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页眉 字符"/>
    <w:basedOn w:val="15"/>
    <w:link w:val="8"/>
    <w:qFormat/>
    <w:uiPriority w:val="99"/>
    <w:rPr>
      <w:sz w:val="18"/>
      <w:szCs w:val="18"/>
    </w:rPr>
  </w:style>
  <w:style w:type="character" w:customStyle="1" w:styleId="19">
    <w:name w:val="页脚 字符"/>
    <w:basedOn w:val="15"/>
    <w:link w:val="7"/>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字符"/>
    <w:basedOn w:val="15"/>
    <w:link w:val="13"/>
    <w:qFormat/>
    <w:uiPriority w:val="10"/>
    <w:rPr>
      <w:rFonts w:asciiTheme="majorHAnsi" w:hAnsiTheme="majorHAnsi" w:eastAsiaTheme="majorEastAsia" w:cstheme="majorBidi"/>
      <w:b/>
      <w:bCs/>
      <w:sz w:val="32"/>
      <w:szCs w:val="32"/>
    </w:rPr>
  </w:style>
  <w:style w:type="character" w:customStyle="1" w:styleId="22">
    <w:name w:val="标题 2 字符"/>
    <w:basedOn w:val="15"/>
    <w:link w:val="3"/>
    <w:qFormat/>
    <w:uiPriority w:val="9"/>
    <w:rPr>
      <w:rFonts w:asciiTheme="majorHAnsi" w:hAnsiTheme="majorHAnsi" w:eastAsiaTheme="majorEastAsia" w:cstheme="majorBidi"/>
      <w:b/>
      <w:bCs/>
      <w:sz w:val="32"/>
      <w:szCs w:val="32"/>
    </w:rPr>
  </w:style>
  <w:style w:type="character" w:customStyle="1" w:styleId="23">
    <w:name w:val="副标题 字符"/>
    <w:basedOn w:val="15"/>
    <w:link w:val="10"/>
    <w:qFormat/>
    <w:uiPriority w:val="11"/>
    <w:rPr>
      <w:b/>
      <w:bCs/>
      <w:kern w:val="28"/>
      <w:sz w:val="32"/>
      <w:szCs w:val="32"/>
    </w:rPr>
  </w:style>
  <w:style w:type="character" w:customStyle="1" w:styleId="24">
    <w:name w:val="标题 3 字符"/>
    <w:basedOn w:val="15"/>
    <w:link w:val="4"/>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字符"/>
    <w:basedOn w:val="15"/>
    <w:link w:val="2"/>
    <w:qFormat/>
    <w:uiPriority w:val="9"/>
    <w:rPr>
      <w:b/>
      <w:bCs/>
      <w:kern w:val="44"/>
      <w:sz w:val="44"/>
      <w:szCs w:val="44"/>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8">
    <w:name w:val="标题 4 字符"/>
    <w:basedOn w:val="15"/>
    <w:link w:val="5"/>
    <w:qFormat/>
    <w:uiPriority w:val="9"/>
    <w:rPr>
      <w:rFonts w:asciiTheme="majorHAnsi" w:hAnsiTheme="majorHAnsi" w:eastAsiaTheme="majorEastAsia" w:cstheme="majorBidi"/>
      <w:b/>
      <w:bCs/>
      <w:sz w:val="28"/>
      <w:szCs w:val="28"/>
    </w:rPr>
  </w:style>
  <w:style w:type="paragraph" w:customStyle="1" w:styleId="29">
    <w:name w:val="正文A"/>
    <w:basedOn w:val="1"/>
    <w:qFormat/>
    <w:uiPriority w:val="4"/>
    <w:pPr>
      <w:widowControl/>
      <w:spacing w:line="580" w:lineRule="exact"/>
      <w:ind w:firstLine="640"/>
      <w:jc w:val="left"/>
    </w:pPr>
    <w:rPr>
      <w:rFonts w:ascii="仿宋_GB2312" w:hAnsi="仿宋_GB2312" w:eastAsia="仿宋_GB2312" w:cs="宋体"/>
      <w:color w:val="000000"/>
      <w:kern w:val="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5D0C3-B9C5-447F-BA9C-1422973303B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6400</Words>
  <Characters>6871</Characters>
  <Lines>8</Lines>
  <Paragraphs>14</Paragraphs>
  <TotalTime>1</TotalTime>
  <ScaleCrop>false</ScaleCrop>
  <LinksUpToDate>false</LinksUpToDate>
  <CharactersWithSpaces>6899</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123</cp:lastModifiedBy>
  <dcterms:modified xsi:type="dcterms:W3CDTF">2022-05-26T11:47:39Z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4CEFD443756F447395BE743D1096484B</vt:lpwstr>
  </property>
</Properties>
</file>